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22E3" w:rsidRDefault="00BE0193">
      <w:pPr>
        <w:pStyle w:val="Titre"/>
      </w:pPr>
      <w:bookmarkStart w:id="0" w:name="_GoBack"/>
      <w:bookmarkEnd w:id="0"/>
      <w:r>
        <w:t>Essential ingredients in Joint Species Distribution Models: influence on interpretability, explanatory and predictive power</w:t>
      </w:r>
    </w:p>
    <w:p w:rsidR="00ED22E3" w:rsidRPr="00DC394B" w:rsidRDefault="00BE0193">
      <w:pPr>
        <w:pStyle w:val="Author"/>
        <w:rPr>
          <w:lang w:val="fr-FR"/>
        </w:rPr>
      </w:pPr>
      <w:r w:rsidRPr="00DC394B">
        <w:rPr>
          <w:lang w:val="fr-FR"/>
        </w:rPr>
        <w:t>Clément Violet</w:t>
      </w:r>
    </w:p>
    <w:p w:rsidR="00ED22E3" w:rsidRPr="00DC394B" w:rsidRDefault="00BE0193">
      <w:pPr>
        <w:pStyle w:val="Author"/>
        <w:rPr>
          <w:lang w:val="fr-FR"/>
        </w:rPr>
      </w:pPr>
      <w:r w:rsidRPr="00DC394B">
        <w:rPr>
          <w:lang w:val="fr-FR"/>
        </w:rPr>
        <w:t>Aurélien Boyé</w:t>
      </w:r>
    </w:p>
    <w:p w:rsidR="00ED22E3" w:rsidRPr="00DC394B" w:rsidRDefault="00BE0193">
      <w:pPr>
        <w:pStyle w:val="Author"/>
        <w:rPr>
          <w:lang w:val="fr-FR"/>
        </w:rPr>
      </w:pPr>
      <w:r w:rsidRPr="00DC394B">
        <w:rPr>
          <w:lang w:val="fr-FR"/>
        </w:rPr>
        <w:t>Mathieu Chevalier</w:t>
      </w:r>
    </w:p>
    <w:p w:rsidR="00ED22E3" w:rsidRPr="00DC394B" w:rsidRDefault="00BE0193">
      <w:pPr>
        <w:pStyle w:val="Author"/>
        <w:rPr>
          <w:lang w:val="fr-FR"/>
        </w:rPr>
      </w:pPr>
      <w:r w:rsidRPr="00DC394B">
        <w:rPr>
          <w:lang w:val="fr-FR"/>
        </w:rPr>
        <w:t>Olivier Gauthier</w:t>
      </w:r>
    </w:p>
    <w:p w:rsidR="00ED22E3" w:rsidRPr="00DC394B" w:rsidRDefault="00BE0193">
      <w:pPr>
        <w:pStyle w:val="Author"/>
        <w:rPr>
          <w:lang w:val="fr-FR"/>
        </w:rPr>
      </w:pPr>
      <w:r w:rsidRPr="00DC394B">
        <w:rPr>
          <w:lang w:val="fr-FR"/>
        </w:rPr>
        <w:t>Jacques Grall</w:t>
      </w:r>
    </w:p>
    <w:p w:rsidR="00ED22E3" w:rsidRPr="00DC394B" w:rsidRDefault="00BE0193">
      <w:pPr>
        <w:pStyle w:val="Author"/>
        <w:rPr>
          <w:lang w:val="fr-FR"/>
        </w:rPr>
      </w:pPr>
      <w:r w:rsidRPr="00DC394B">
        <w:rPr>
          <w:lang w:val="fr-FR"/>
        </w:rPr>
        <w:t>Martin P. Marzloff</w:t>
      </w:r>
    </w:p>
    <w:p w:rsidR="00ED22E3" w:rsidRDefault="00BE0193">
      <w:pPr>
        <w:numPr>
          <w:ilvl w:val="0"/>
          <w:numId w:val="2"/>
        </w:numPr>
      </w:pPr>
      <w:r>
        <w:t>Joint Species Distribution Models (jSDM) are increasingly used to explain and predict biodiversity patterns. jSDMs account for species co-occurrence patterns and can include phylogeny or functional traits to better capture the processes shaping communities</w:t>
      </w:r>
      <w:r>
        <w:t>. Yet, several factors may limit or affect the interpretability and predictive ability of jSDMs : missing abiotic predictors, omitting ecologically-important species, or increasing the number of model parameters by adding phylogeny and/or trait information</w:t>
      </w:r>
      <w:r>
        <w:t>.</w:t>
      </w:r>
    </w:p>
    <w:p w:rsidR="00ED22E3" w:rsidRDefault="00BE0193">
      <w:pPr>
        <w:numPr>
          <w:ilvl w:val="0"/>
          <w:numId w:val="2"/>
        </w:numPr>
      </w:pPr>
      <w:r>
        <w:t>We assessed how interpretability, explanatory and predictive power of jSDM varied across four alternative models focusing on 99 coastal benthic marine polychaete species: (1) a baseline jSDM with only abiotic predictors and residual co-occurrence pattern</w:t>
      </w:r>
      <w:r>
        <w:t>s, (2) a jSDM adding to the baseline model phylogeny alone or (3) in combination with traits data and (4) a jSDM also based on the baseline model, including monitoring information related to additional species sampled alongside the target assemblage (i.e. </w:t>
      </w:r>
      <w:r>
        <w:t>non-target species that are not of direct interest but potentially interact with the target assemblage). The four models fitted on both presence/absence and abundance data from a regional monitoring programme were assessed using complementary metrics. We c</w:t>
      </w:r>
      <w:r>
        <w:t>ompared performance at both species- and community-level, considering multiple facets of species responses and assemblage diversity.</w:t>
      </w:r>
    </w:p>
    <w:p w:rsidR="00ED22E3" w:rsidRDefault="00BE0193">
      <w:pPr>
        <w:numPr>
          <w:ilvl w:val="0"/>
          <w:numId w:val="2"/>
        </w:numPr>
      </w:pPr>
      <w:r>
        <w:t>For both presence/absence and abundance data, all models displayed good and similar explanatory power but varied in their i</w:t>
      </w:r>
      <w:r>
        <w:t>nterpretability and predictive power. Considering trait data provides insights on species response along environmental gradients, which is a decisive element for model interpretability. Relative to the baseline model, predictive power increased by 26% when</w:t>
      </w:r>
      <w:r>
        <w:t xml:space="preserve"> including data on additional species, whereas only marginal changes were detected for the two other models. These patterns are explained by changes in the species-environment relationships and residual co-occurrence patterns inferred by these models.</w:t>
      </w:r>
    </w:p>
    <w:p w:rsidR="00ED22E3" w:rsidRDefault="00BE0193">
      <w:pPr>
        <w:numPr>
          <w:ilvl w:val="0"/>
          <w:numId w:val="2"/>
        </w:numPr>
      </w:pPr>
      <w:r>
        <w:lastRenderedPageBreak/>
        <w:t>Over</w:t>
      </w:r>
      <w:r>
        <w:t>all, this study highlights that adequate strategy to fit jSDM depends on data at hand, modelling objective and research question. To understand observed community space-time variability, adding phylogenetic or trait information is most effective. Inclusion</w:t>
      </w:r>
      <w:r>
        <w:t xml:space="preserve"> of non-target species is however a better strategy to predict how the target species assemblage responds to environmental changes. Importantly, we provide a comprehensive toolbox for the comparative assessment of jSDM performance.</w:t>
      </w:r>
    </w:p>
    <w:p w:rsidR="00ED22E3" w:rsidRDefault="00BE0193">
      <w:pPr>
        <w:pStyle w:val="Titre1"/>
      </w:pPr>
      <w:bookmarkStart w:id="1" w:name="introduction"/>
      <w:r>
        <w:t>Introduction</w:t>
      </w:r>
    </w:p>
    <w:p w:rsidR="00ED22E3" w:rsidRDefault="00BE0193">
      <w:pPr>
        <w:pStyle w:val="FirstParagraph"/>
      </w:pPr>
      <w:r>
        <w:t>Community e</w:t>
      </w:r>
      <w:r>
        <w:t>cology aims at explaining and predicting spatio-temporal variability in species diversity (</w:t>
      </w:r>
      <w:hyperlink w:anchor="ref-Whittaker_2001">
        <w:r>
          <w:rPr>
            <w:rStyle w:val="Lienhypertexte"/>
          </w:rPr>
          <w:t xml:space="preserve">Whittaker </w:t>
        </w:r>
        <w:r>
          <w:rPr>
            <w:rStyle w:val="Lienhypertexte"/>
            <w:i/>
            <w:iCs/>
          </w:rPr>
          <w:t>et al.</w:t>
        </w:r>
        <w:r>
          <w:rPr>
            <w:rStyle w:val="Lienhypertexte"/>
          </w:rPr>
          <w:t xml:space="preserve"> 2001</w:t>
        </w:r>
      </w:hyperlink>
      <w:r>
        <w:t>) and coexistence (</w:t>
      </w:r>
      <w:hyperlink w:anchor="ref-Chesson_2000">
        <w:r>
          <w:rPr>
            <w:rStyle w:val="Lienhypertexte"/>
          </w:rPr>
          <w:t>Chesson 2000</w:t>
        </w:r>
      </w:hyperlink>
      <w:r>
        <w:t>). Understanding the processes th</w:t>
      </w:r>
      <w:r>
        <w:t xml:space="preserve">at determine species distribution around the planet is a prerequisite to characterise and predict community structure and associated ecological dynamics, which is critical to mitigate the effects of global change on biodiversity and prevent the sixth mass </w:t>
      </w:r>
      <w:r>
        <w:t>extinction (</w:t>
      </w:r>
      <w:hyperlink w:anchor="ref-ipbes_2019">
        <w:r>
          <w:rPr>
            <w:rStyle w:val="Lienhypertexte"/>
          </w:rPr>
          <w:t>IPBES 2019</w:t>
        </w:r>
      </w:hyperlink>
      <w:r>
        <w:t>). Currently, the major challenges faced by ecologists include describing, explaining, and predicting changes in communities (</w:t>
      </w:r>
      <w:hyperlink w:anchor="ref-Tredennick_2021">
        <w:r>
          <w:rPr>
            <w:rStyle w:val="Lienhypertexte"/>
          </w:rPr>
          <w:t xml:space="preserve">Tredennick </w:t>
        </w:r>
        <w:r>
          <w:rPr>
            <w:rStyle w:val="Lienhypertexte"/>
            <w:i/>
            <w:iCs/>
          </w:rPr>
          <w:t>et al.</w:t>
        </w:r>
        <w:r>
          <w:rPr>
            <w:rStyle w:val="Lienhypertexte"/>
          </w:rPr>
          <w:t xml:space="preserve"> 2021</w:t>
        </w:r>
      </w:hyperlink>
      <w:r>
        <w:t>) in or</w:t>
      </w:r>
      <w:r>
        <w:t>der to inform effective management or restoration measures in a rapidly changing world (</w:t>
      </w:r>
      <w:hyperlink w:anchor="ref-Houlahan_2017">
        <w:r>
          <w:rPr>
            <w:rStyle w:val="Lienhypertexte"/>
          </w:rPr>
          <w:t xml:space="preserve">Houlahan </w:t>
        </w:r>
        <w:r>
          <w:rPr>
            <w:rStyle w:val="Lienhypertexte"/>
            <w:i/>
            <w:iCs/>
          </w:rPr>
          <w:t>et al.</w:t>
        </w:r>
        <w:r>
          <w:rPr>
            <w:rStyle w:val="Lienhypertexte"/>
          </w:rPr>
          <w:t xml:space="preserve"> 2017</w:t>
        </w:r>
      </w:hyperlink>
      <w:r>
        <w:t xml:space="preserve"> ; </w:t>
      </w:r>
      <w:hyperlink w:anchor="ref-Dietze_2018">
        <w:r>
          <w:rPr>
            <w:rStyle w:val="Lienhypertexte"/>
          </w:rPr>
          <w:t xml:space="preserve">Dietze </w:t>
        </w:r>
        <w:r>
          <w:rPr>
            <w:rStyle w:val="Lienhypertexte"/>
            <w:i/>
            <w:iCs/>
          </w:rPr>
          <w:t>et al.</w:t>
        </w:r>
        <w:r>
          <w:rPr>
            <w:rStyle w:val="Lienhypertexte"/>
          </w:rPr>
          <w:t xml:space="preserve"> 2018</w:t>
        </w:r>
      </w:hyperlink>
      <w:r>
        <w:t xml:space="preserve"> ; </w:t>
      </w:r>
      <w:hyperlink w:anchor="ref-Brudvig_2022">
        <w:r>
          <w:rPr>
            <w:rStyle w:val="Lienhypertexte"/>
          </w:rPr>
          <w:t>Brudvig</w:t>
        </w:r>
        <w:r>
          <w:rPr>
            <w:rStyle w:val="Lienhypertexte"/>
          </w:rPr>
          <w:t xml:space="preserve"> &amp; Catano 2022</w:t>
        </w:r>
      </w:hyperlink>
      <w:r>
        <w:t>). Joint Species Distribution Models (jSDM) are particularly well-suited tools to address these challenges, whether to characterise the processes that shape observed communities (</w:t>
      </w:r>
      <w:hyperlink w:anchor="ref-Warton_2015">
        <w:r>
          <w:rPr>
            <w:rStyle w:val="Lienhypertexte"/>
          </w:rPr>
          <w:t xml:space="preserve">Warton </w:t>
        </w:r>
        <w:r>
          <w:rPr>
            <w:rStyle w:val="Lienhypertexte"/>
            <w:i/>
            <w:iCs/>
          </w:rPr>
          <w:t>et al.</w:t>
        </w:r>
        <w:r>
          <w:rPr>
            <w:rStyle w:val="Lienhypertexte"/>
          </w:rPr>
          <w:t xml:space="preserve"> 2015</w:t>
        </w:r>
      </w:hyperlink>
      <w:r>
        <w:t xml:space="preserve"> ; </w:t>
      </w:r>
      <w:hyperlink w:anchor="ref-Ovaskainen_2017a">
        <w:r>
          <w:rPr>
            <w:rStyle w:val="Lienhypertexte"/>
          </w:rPr>
          <w:t xml:space="preserve">Ovaskainen </w:t>
        </w:r>
        <w:r>
          <w:rPr>
            <w:rStyle w:val="Lienhypertexte"/>
            <w:i/>
            <w:iCs/>
          </w:rPr>
          <w:t>et al.</w:t>
        </w:r>
        <w:r>
          <w:rPr>
            <w:rStyle w:val="Lienhypertexte"/>
          </w:rPr>
          <w:t xml:space="preserve"> 2017b</w:t>
        </w:r>
      </w:hyperlink>
      <w:r>
        <w:t>), or to predict how communities will evolve in the future (</w:t>
      </w:r>
      <w:hyperlink w:anchor="ref-Norberg_2019">
        <w:r>
          <w:rPr>
            <w:rStyle w:val="Lienhypertexte"/>
          </w:rPr>
          <w:t xml:space="preserve">Norberg </w:t>
        </w:r>
        <w:r>
          <w:rPr>
            <w:rStyle w:val="Lienhypertexte"/>
            <w:i/>
            <w:iCs/>
          </w:rPr>
          <w:t>et al.</w:t>
        </w:r>
        <w:r>
          <w:rPr>
            <w:rStyle w:val="Lienhypertexte"/>
          </w:rPr>
          <w:t xml:space="preserve"> 2019</w:t>
        </w:r>
      </w:hyperlink>
      <w:r>
        <w:t xml:space="preserve"> ; </w:t>
      </w:r>
      <w:hyperlink w:anchor="ref-Pollock_2020">
        <w:r>
          <w:rPr>
            <w:rStyle w:val="Lienhypertexte"/>
          </w:rPr>
          <w:t xml:space="preserve">Pollock </w:t>
        </w:r>
        <w:r>
          <w:rPr>
            <w:rStyle w:val="Lienhypertexte"/>
            <w:i/>
            <w:iCs/>
          </w:rPr>
          <w:t>et al.</w:t>
        </w:r>
        <w:r>
          <w:rPr>
            <w:rStyle w:val="Lienhypertexte"/>
          </w:rPr>
          <w:t xml:space="preserve"> 2020</w:t>
        </w:r>
      </w:hyperlink>
      <w:r>
        <w:t>).</w:t>
      </w:r>
    </w:p>
    <w:p w:rsidR="00ED22E3" w:rsidRDefault="00BE0193">
      <w:pPr>
        <w:pStyle w:val="Corpsdetexte"/>
      </w:pPr>
      <w:r>
        <w:t>jSDMs are multivariate (i.e. multi-species) extensions of Species Distribution Models (SDMs), which have been broadly applied over the past decades - across all terrestrial and marine realms - to understand and predict both species occurrences (</w:t>
      </w:r>
      <w:hyperlink w:anchor="ref-Elith_2006">
        <w:r>
          <w:rPr>
            <w:rStyle w:val="Lienhypertexte"/>
          </w:rPr>
          <w:t xml:space="preserve">Elith </w:t>
        </w:r>
        <w:r>
          <w:rPr>
            <w:rStyle w:val="Lienhypertexte"/>
            <w:i/>
            <w:iCs/>
          </w:rPr>
          <w:t>et al.</w:t>
        </w:r>
        <w:r>
          <w:rPr>
            <w:rStyle w:val="Lienhypertexte"/>
          </w:rPr>
          <w:t xml:space="preserve"> 2006</w:t>
        </w:r>
      </w:hyperlink>
      <w:r>
        <w:t xml:space="preserve"> ; </w:t>
      </w:r>
      <w:hyperlink w:anchor="ref-Norberg_2019">
        <w:r>
          <w:rPr>
            <w:rStyle w:val="Lienhypertexte"/>
          </w:rPr>
          <w:t xml:space="preserve">Norberg </w:t>
        </w:r>
        <w:r>
          <w:rPr>
            <w:rStyle w:val="Lienhypertexte"/>
            <w:i/>
            <w:iCs/>
          </w:rPr>
          <w:t>et al.</w:t>
        </w:r>
        <w:r>
          <w:rPr>
            <w:rStyle w:val="Lienhypertexte"/>
          </w:rPr>
          <w:t xml:space="preserve"> 2019</w:t>
        </w:r>
      </w:hyperlink>
      <w:r>
        <w:t>) and species abundances (</w:t>
      </w:r>
      <w:hyperlink w:anchor="ref-Howard_2014">
        <w:r>
          <w:rPr>
            <w:rStyle w:val="Lienhypertexte"/>
          </w:rPr>
          <w:t xml:space="preserve">Howard </w:t>
        </w:r>
        <w:r>
          <w:rPr>
            <w:rStyle w:val="Lienhypertexte"/>
            <w:i/>
            <w:iCs/>
          </w:rPr>
          <w:t>et al.</w:t>
        </w:r>
        <w:r>
          <w:rPr>
            <w:rStyle w:val="Lienhypertexte"/>
          </w:rPr>
          <w:t xml:space="preserve"> 2014</w:t>
        </w:r>
      </w:hyperlink>
      <w:r>
        <w:t xml:space="preserve"> ; </w:t>
      </w:r>
      <w:hyperlink w:anchor="ref-Waldock_2022">
        <w:r>
          <w:rPr>
            <w:rStyle w:val="Lienhypertexte"/>
          </w:rPr>
          <w:t xml:space="preserve">Waldock </w:t>
        </w:r>
        <w:r>
          <w:rPr>
            <w:rStyle w:val="Lienhypertexte"/>
            <w:i/>
            <w:iCs/>
          </w:rPr>
          <w:t>et al.</w:t>
        </w:r>
        <w:r>
          <w:rPr>
            <w:rStyle w:val="Lienhypertexte"/>
          </w:rPr>
          <w:t xml:space="preserve"> 2022</w:t>
        </w:r>
      </w:hyperlink>
      <w:r>
        <w:t>) using a</w:t>
      </w:r>
      <w:r>
        <w:t xml:space="preserve"> set of covariates (e.g. climatic variables). One advantage of jSDM relies on their explanatory power owing to their tight link with the assembly rule framework (</w:t>
      </w:r>
      <w:hyperlink w:anchor="ref-Ovaskainen_2017a">
        <w:r>
          <w:rPr>
            <w:rStyle w:val="Lienhypertexte"/>
          </w:rPr>
          <w:t xml:space="preserve">Ovaskainen </w:t>
        </w:r>
        <w:r>
          <w:rPr>
            <w:rStyle w:val="Lienhypertexte"/>
            <w:i/>
            <w:iCs/>
          </w:rPr>
          <w:t>et al.</w:t>
        </w:r>
        <w:r>
          <w:rPr>
            <w:rStyle w:val="Lienhypertexte"/>
          </w:rPr>
          <w:t xml:space="preserve"> 2017b</w:t>
        </w:r>
      </w:hyperlink>
      <w:r>
        <w:t>). In particular, relative t</w:t>
      </w:r>
      <w:r>
        <w:t>o single-species SDMs that only consider the abiotic niche of species (i.e. the Grinellian niche), jSDM can theoretically also account for interspecific interactions (i.e. the Eltonian niche).</w:t>
      </w:r>
    </w:p>
    <w:p w:rsidR="00ED22E3" w:rsidRDefault="00BE0193">
      <w:pPr>
        <w:pStyle w:val="Corpsdetexte"/>
      </w:pPr>
      <w:r>
        <w:t xml:space="preserve">Indeed, in jSDMs, the variability in community composition not </w:t>
      </w:r>
      <w:r>
        <w:t>explained by covariates is captured by a residual covariance matrix representing species co-occurence patterns potentially representing biotic interactions (</w:t>
      </w:r>
      <w:hyperlink w:anchor="ref-Ovaskainen_2017a">
        <w:r>
          <w:rPr>
            <w:rStyle w:val="Lienhypertexte"/>
          </w:rPr>
          <w:t xml:space="preserve">Ovaskainen </w:t>
        </w:r>
        <w:r>
          <w:rPr>
            <w:rStyle w:val="Lienhypertexte"/>
            <w:i/>
            <w:iCs/>
          </w:rPr>
          <w:t>et al.</w:t>
        </w:r>
        <w:r>
          <w:rPr>
            <w:rStyle w:val="Lienhypertexte"/>
          </w:rPr>
          <w:t xml:space="preserve"> 2017b</w:t>
        </w:r>
      </w:hyperlink>
      <w:r>
        <w:t>). This feature is highly attract</w:t>
      </w:r>
      <w:r>
        <w:t>ive to ecologists because it provides a way to disentangle the relative influence of abiotic and biotic processes on biodiversity patterns (</w:t>
      </w:r>
      <w:hyperlink w:anchor="ref-Godsoe_2017">
        <w:r>
          <w:rPr>
            <w:rStyle w:val="Lienhypertexte"/>
          </w:rPr>
          <w:t xml:space="preserve">Godsoe </w:t>
        </w:r>
        <w:r>
          <w:rPr>
            <w:rStyle w:val="Lienhypertexte"/>
            <w:i/>
            <w:iCs/>
          </w:rPr>
          <w:t>et al.</w:t>
        </w:r>
        <w:r>
          <w:rPr>
            <w:rStyle w:val="Lienhypertexte"/>
          </w:rPr>
          <w:t xml:space="preserve"> 2017</w:t>
        </w:r>
      </w:hyperlink>
      <w:r>
        <w:t>) while also improving model’s predictive power (</w:t>
      </w:r>
      <w:hyperlink w:anchor="ref-Giannini_2013">
        <w:r>
          <w:rPr>
            <w:rStyle w:val="Lienhypertexte"/>
          </w:rPr>
          <w:t xml:space="preserve">Giannini </w:t>
        </w:r>
        <w:r>
          <w:rPr>
            <w:rStyle w:val="Lienhypertexte"/>
            <w:i/>
            <w:iCs/>
          </w:rPr>
          <w:t>et al.</w:t>
        </w:r>
        <w:r>
          <w:rPr>
            <w:rStyle w:val="Lienhypertexte"/>
          </w:rPr>
          <w:t xml:space="preserve"> 2013</w:t>
        </w:r>
      </w:hyperlink>
      <w:r>
        <w:t xml:space="preserve"> ; </w:t>
      </w:r>
      <w:hyperlink w:anchor="ref-Staniczenko_2017">
        <w:r>
          <w:rPr>
            <w:rStyle w:val="Lienhypertexte"/>
          </w:rPr>
          <w:t xml:space="preserve">Staniczenko </w:t>
        </w:r>
        <w:r>
          <w:rPr>
            <w:rStyle w:val="Lienhypertexte"/>
            <w:i/>
            <w:iCs/>
          </w:rPr>
          <w:t>et al.</w:t>
        </w:r>
        <w:r>
          <w:rPr>
            <w:rStyle w:val="Lienhypertexte"/>
          </w:rPr>
          <w:t xml:space="preserve"> 2017</w:t>
        </w:r>
      </w:hyperlink>
      <w:r>
        <w:t>). However, in practice, inferring and interpreting residual co-occurence patterns using jSDMs remains challenging for several reasons (</w:t>
      </w:r>
      <w:hyperlink w:anchor="ref-Blanchet_2020">
        <w:r>
          <w:rPr>
            <w:rStyle w:val="Lienhypertexte"/>
          </w:rPr>
          <w:t xml:space="preserve">Blanchet </w:t>
        </w:r>
        <w:r>
          <w:rPr>
            <w:rStyle w:val="Lienhypertexte"/>
            <w:i/>
            <w:iCs/>
          </w:rPr>
          <w:t>et al.</w:t>
        </w:r>
        <w:r>
          <w:rPr>
            <w:rStyle w:val="Lienhypertexte"/>
          </w:rPr>
          <w:t xml:space="preserve"> 2020</w:t>
        </w:r>
      </w:hyperlink>
      <w:r>
        <w:t xml:space="preserve"> ; </w:t>
      </w:r>
      <w:hyperlink w:anchor="ref-Holt_2020">
        <w:r>
          <w:rPr>
            <w:rStyle w:val="Lienhypertexte"/>
          </w:rPr>
          <w:t>Holt 2020</w:t>
        </w:r>
      </w:hyperlink>
      <w:r>
        <w:t>).</w:t>
      </w:r>
    </w:p>
    <w:p w:rsidR="00ED22E3" w:rsidRDefault="00BE0193">
      <w:pPr>
        <w:pStyle w:val="Corpsdetexte"/>
      </w:pPr>
      <w:r>
        <w:t>First, while jSDMs have been applied to a large number of species presence/absence datasets (</w:t>
      </w:r>
      <w:hyperlink w:anchor="ref-Norberg_2019">
        <w:r>
          <w:rPr>
            <w:rStyle w:val="Lienhypertexte"/>
          </w:rPr>
          <w:t xml:space="preserve">Norberg </w:t>
        </w:r>
        <w:r>
          <w:rPr>
            <w:rStyle w:val="Lienhypertexte"/>
            <w:i/>
            <w:iCs/>
          </w:rPr>
          <w:t>et al.</w:t>
        </w:r>
        <w:r>
          <w:rPr>
            <w:rStyle w:val="Lienhypertexte"/>
          </w:rPr>
          <w:t xml:space="preserve"> </w:t>
        </w:r>
        <w:r>
          <w:rPr>
            <w:rStyle w:val="Lienhypertexte"/>
          </w:rPr>
          <w:t>2019</w:t>
        </w:r>
      </w:hyperlink>
      <w:r>
        <w:t xml:space="preserve"> ; </w:t>
      </w:r>
      <w:hyperlink w:anchor="ref-Wilkinson_2019">
        <w:r>
          <w:rPr>
            <w:rStyle w:val="Lienhypertexte"/>
          </w:rPr>
          <w:t xml:space="preserve">Wilkinson </w:t>
        </w:r>
        <w:r>
          <w:rPr>
            <w:rStyle w:val="Lienhypertexte"/>
            <w:i/>
            <w:iCs/>
          </w:rPr>
          <w:t>et al.</w:t>
        </w:r>
        <w:r>
          <w:rPr>
            <w:rStyle w:val="Lienhypertexte"/>
          </w:rPr>
          <w:t xml:space="preserve"> 2019</w:t>
        </w:r>
      </w:hyperlink>
      <w:r>
        <w:t xml:space="preserve"> ; </w:t>
      </w:r>
      <w:hyperlink w:anchor="ref-Wilkinson_2020">
        <w:r>
          <w:rPr>
            <w:rStyle w:val="Lienhypertexte"/>
          </w:rPr>
          <w:t xml:space="preserve">Wilkinson </w:t>
        </w:r>
        <w:r>
          <w:rPr>
            <w:rStyle w:val="Lienhypertexte"/>
            <w:i/>
            <w:iCs/>
          </w:rPr>
          <w:t>et al.</w:t>
        </w:r>
        <w:r>
          <w:rPr>
            <w:rStyle w:val="Lienhypertexte"/>
          </w:rPr>
          <w:t xml:space="preserve"> 2020</w:t>
        </w:r>
      </w:hyperlink>
      <w:r>
        <w:t xml:space="preserve">), simulation studies showed that co-occurence networks inferred from such data does not necessarily </w:t>
      </w:r>
      <w:r>
        <w:lastRenderedPageBreak/>
        <w:t>provide evidence for species interactions (</w:t>
      </w:r>
      <w:hyperlink w:anchor="ref-Sander_2017">
        <w:r>
          <w:rPr>
            <w:rStyle w:val="Lienhypertexte"/>
          </w:rPr>
          <w:t xml:space="preserve">Sander </w:t>
        </w:r>
        <w:r>
          <w:rPr>
            <w:rStyle w:val="Lienhypertexte"/>
            <w:i/>
            <w:iCs/>
          </w:rPr>
          <w:t>et al.</w:t>
        </w:r>
        <w:r>
          <w:rPr>
            <w:rStyle w:val="Lienhypertexte"/>
          </w:rPr>
          <w:t xml:space="preserve"> 2017</w:t>
        </w:r>
      </w:hyperlink>
      <w:r>
        <w:t xml:space="preserve"> ; </w:t>
      </w:r>
      <w:hyperlink w:anchor="ref-Dormann_2018">
        <w:r>
          <w:rPr>
            <w:rStyle w:val="Lienhypertexte"/>
          </w:rPr>
          <w:t xml:space="preserve">Dormann </w:t>
        </w:r>
        <w:r>
          <w:rPr>
            <w:rStyle w:val="Lienhypertexte"/>
            <w:i/>
            <w:iCs/>
          </w:rPr>
          <w:t>et al.</w:t>
        </w:r>
        <w:r>
          <w:rPr>
            <w:rStyle w:val="Lienhypertexte"/>
          </w:rPr>
          <w:t xml:space="preserve"> 2018</w:t>
        </w:r>
      </w:hyperlink>
      <w:r>
        <w:t xml:space="preserve"> ; </w:t>
      </w:r>
      <w:hyperlink w:anchor="ref-Blanchet_2020">
        <w:r>
          <w:rPr>
            <w:rStyle w:val="Lienhypertexte"/>
          </w:rPr>
          <w:t xml:space="preserve">Blanchet </w:t>
        </w:r>
        <w:r>
          <w:rPr>
            <w:rStyle w:val="Lienhypertexte"/>
            <w:i/>
            <w:iCs/>
          </w:rPr>
          <w:t>et al.</w:t>
        </w:r>
        <w:r>
          <w:rPr>
            <w:rStyle w:val="Lienhypertexte"/>
          </w:rPr>
          <w:t xml:space="preserve"> 2020</w:t>
        </w:r>
      </w:hyperlink>
      <w:r>
        <w:t>) and only inform about spatial and temporal associations between species (</w:t>
      </w:r>
      <w:hyperlink w:anchor="ref-Keil_2021">
        <w:r>
          <w:rPr>
            <w:rStyle w:val="Lienhypertexte"/>
          </w:rPr>
          <w:t xml:space="preserve">Keil </w:t>
        </w:r>
        <w:r>
          <w:rPr>
            <w:rStyle w:val="Lienhypertexte"/>
            <w:i/>
            <w:iCs/>
          </w:rPr>
          <w:t>et al.</w:t>
        </w:r>
        <w:r>
          <w:rPr>
            <w:rStyle w:val="Lienhypertexte"/>
          </w:rPr>
          <w:t xml:space="preserve"> 2021</w:t>
        </w:r>
      </w:hyperlink>
      <w:r>
        <w:t>). Some authors speculated that jSDMs applied to abundance da</w:t>
      </w:r>
      <w:r>
        <w:t>ta - instead of presence/absence data - are likely to provide a better proxy for biotic interactions (</w:t>
      </w:r>
      <w:hyperlink w:anchor="ref-Blanchet_2020">
        <w:r>
          <w:rPr>
            <w:rStyle w:val="Lienhypertexte"/>
          </w:rPr>
          <w:t xml:space="preserve">Blanchet </w:t>
        </w:r>
        <w:r>
          <w:rPr>
            <w:rStyle w:val="Lienhypertexte"/>
            <w:i/>
            <w:iCs/>
          </w:rPr>
          <w:t>et al.</w:t>
        </w:r>
        <w:r>
          <w:rPr>
            <w:rStyle w:val="Lienhypertexte"/>
          </w:rPr>
          <w:t xml:space="preserve"> 2020</w:t>
        </w:r>
      </w:hyperlink>
      <w:r>
        <w:t xml:space="preserve"> ; </w:t>
      </w:r>
      <w:hyperlink w:anchor="ref-Momal_2020">
        <w:r>
          <w:rPr>
            <w:rStyle w:val="Lienhypertexte"/>
          </w:rPr>
          <w:t xml:space="preserve">Momal </w:t>
        </w:r>
        <w:r>
          <w:rPr>
            <w:rStyle w:val="Lienhypertexte"/>
            <w:i/>
            <w:iCs/>
          </w:rPr>
          <w:t>et al.</w:t>
        </w:r>
        <w:r>
          <w:rPr>
            <w:rStyle w:val="Lienhypertexte"/>
          </w:rPr>
          <w:t xml:space="preserve"> 2020</w:t>
        </w:r>
      </w:hyperlink>
      <w:r>
        <w:t>). Accordingly, jSDM have progressive</w:t>
      </w:r>
      <w:r>
        <w:t>ly been extended and applied to abundance data (</w:t>
      </w:r>
      <w:hyperlink w:anchor="ref-Hui_2016">
        <w:r>
          <w:rPr>
            <w:rStyle w:val="Lienhypertexte"/>
          </w:rPr>
          <w:t>Hui 2016</w:t>
        </w:r>
      </w:hyperlink>
      <w:r>
        <w:t xml:space="preserve"> ; </w:t>
      </w:r>
      <w:hyperlink w:anchor="ref-Ovaskainen_2017a">
        <w:r>
          <w:rPr>
            <w:rStyle w:val="Lienhypertexte"/>
          </w:rPr>
          <w:t xml:space="preserve">Ovaskainen </w:t>
        </w:r>
        <w:r>
          <w:rPr>
            <w:rStyle w:val="Lienhypertexte"/>
            <w:i/>
            <w:iCs/>
          </w:rPr>
          <w:t>et al.</w:t>
        </w:r>
        <w:r>
          <w:rPr>
            <w:rStyle w:val="Lienhypertexte"/>
          </w:rPr>
          <w:t xml:space="preserve"> 2017b</w:t>
        </w:r>
      </w:hyperlink>
      <w:r>
        <w:t xml:space="preserve"> ; </w:t>
      </w:r>
      <w:hyperlink w:anchor="ref-Chiquet_2021">
        <w:r>
          <w:rPr>
            <w:rStyle w:val="Lienhypertexte"/>
          </w:rPr>
          <w:t xml:space="preserve">Chiquet </w:t>
        </w:r>
        <w:r>
          <w:rPr>
            <w:rStyle w:val="Lienhypertexte"/>
            <w:i/>
            <w:iCs/>
          </w:rPr>
          <w:t>et al.</w:t>
        </w:r>
        <w:r>
          <w:rPr>
            <w:rStyle w:val="Lienhypertexte"/>
          </w:rPr>
          <w:t xml:space="preserve"> 2021</w:t>
        </w:r>
      </w:hyperlink>
      <w:r>
        <w:t xml:space="preserve"> ; </w:t>
      </w:r>
      <w:hyperlink w:anchor="ref-Popovic_2022">
        <w:r>
          <w:rPr>
            <w:rStyle w:val="Lienhypertexte"/>
          </w:rPr>
          <w:t xml:space="preserve">Popovic </w:t>
        </w:r>
        <w:r>
          <w:rPr>
            <w:rStyle w:val="Lienhypertexte"/>
            <w:i/>
            <w:iCs/>
          </w:rPr>
          <w:t>et al.</w:t>
        </w:r>
        <w:r>
          <w:rPr>
            <w:rStyle w:val="Lienhypertexte"/>
          </w:rPr>
          <w:t xml:space="preserve"> 2022</w:t>
        </w:r>
      </w:hyperlink>
      <w:r>
        <w:t>). Yet, specific challenges related to modelling abundance data have only been recently explored in the context of species distribution modelling (</w:t>
      </w:r>
      <w:hyperlink w:anchor="ref-Waldock_2022">
        <w:r>
          <w:rPr>
            <w:rStyle w:val="Lienhypertexte"/>
          </w:rPr>
          <w:t xml:space="preserve">Waldock </w:t>
        </w:r>
        <w:r>
          <w:rPr>
            <w:rStyle w:val="Lienhypertexte"/>
            <w:i/>
            <w:iCs/>
          </w:rPr>
          <w:t>et al.</w:t>
        </w:r>
        <w:r>
          <w:rPr>
            <w:rStyle w:val="Lienhypertexte"/>
          </w:rPr>
          <w:t xml:space="preserve"> 2022</w:t>
        </w:r>
      </w:hyperlink>
      <w:r>
        <w:t>). To date, the predictiv</w:t>
      </w:r>
      <w:r>
        <w:t>e and the explanatory power of jSDM fitted to abundance data remains relatively untested compared to presence/absence data (</w:t>
      </w:r>
      <w:hyperlink w:anchor="ref-Norberg_2019">
        <w:r>
          <w:rPr>
            <w:rStyle w:val="Lienhypertexte"/>
          </w:rPr>
          <w:t xml:space="preserve">Norberg </w:t>
        </w:r>
        <w:r>
          <w:rPr>
            <w:rStyle w:val="Lienhypertexte"/>
            <w:i/>
            <w:iCs/>
          </w:rPr>
          <w:t>et al.</w:t>
        </w:r>
        <w:r>
          <w:rPr>
            <w:rStyle w:val="Lienhypertexte"/>
          </w:rPr>
          <w:t xml:space="preserve"> 2019</w:t>
        </w:r>
      </w:hyperlink>
      <w:r>
        <w:t xml:space="preserve"> ; </w:t>
      </w:r>
      <w:hyperlink w:anchor="ref-Wilkinson_2020">
        <w:r>
          <w:rPr>
            <w:rStyle w:val="Lienhypertexte"/>
          </w:rPr>
          <w:t xml:space="preserve">Wilkinson </w:t>
        </w:r>
        <w:r>
          <w:rPr>
            <w:rStyle w:val="Lienhypertexte"/>
            <w:i/>
            <w:iCs/>
          </w:rPr>
          <w:t>et al.</w:t>
        </w:r>
        <w:r>
          <w:rPr>
            <w:rStyle w:val="Lienhypertexte"/>
          </w:rPr>
          <w:t xml:space="preserve"> 2020</w:t>
        </w:r>
      </w:hyperlink>
      <w:r>
        <w:t>).</w:t>
      </w:r>
    </w:p>
    <w:p w:rsidR="00ED22E3" w:rsidRDefault="00BE0193">
      <w:pPr>
        <w:pStyle w:val="Corpsdetexte"/>
      </w:pPr>
      <w:r>
        <w:t>Second, regardless of the type of data considered (i.e. presence/absence or abundance), several factors may limit or affect the interpretability and predictive ability of jSDM. For instance, co-occurence patterns estimated in jSDM are affected by unaccount</w:t>
      </w:r>
      <w:r>
        <w:t>ed environmental variables implying that jSDMs cannot fully separate the environmental and the biotic niche of species (</w:t>
      </w:r>
      <w:hyperlink w:anchor="ref-Blanchet_2020">
        <w:r>
          <w:rPr>
            <w:rStyle w:val="Lienhypertexte"/>
          </w:rPr>
          <w:t xml:space="preserve">Blanchet </w:t>
        </w:r>
        <w:r>
          <w:rPr>
            <w:rStyle w:val="Lienhypertexte"/>
            <w:i/>
            <w:iCs/>
          </w:rPr>
          <w:t>et al.</w:t>
        </w:r>
        <w:r>
          <w:rPr>
            <w:rStyle w:val="Lienhypertexte"/>
          </w:rPr>
          <w:t xml:space="preserve"> 2020</w:t>
        </w:r>
      </w:hyperlink>
      <w:r>
        <w:t xml:space="preserve"> ; </w:t>
      </w:r>
      <w:hyperlink w:anchor="ref-Poggiato_2021">
        <w:r>
          <w:rPr>
            <w:rStyle w:val="Lienhypertexte"/>
          </w:rPr>
          <w:t xml:space="preserve">Poggiato </w:t>
        </w:r>
        <w:r>
          <w:rPr>
            <w:rStyle w:val="Lienhypertexte"/>
            <w:i/>
            <w:iCs/>
          </w:rPr>
          <w:t>et al.</w:t>
        </w:r>
        <w:r>
          <w:rPr>
            <w:rStyle w:val="Lienhypertexte"/>
          </w:rPr>
          <w:t xml:space="preserve"> 2021</w:t>
        </w:r>
      </w:hyperlink>
      <w:r>
        <w:t>). Beyond mis</w:t>
      </w:r>
      <w:r>
        <w:t xml:space="preserve">sing environmental predictors, one prerequisite for improving biotic inference and thus jSDMs’ predictions is to take into account other actors (i.e. species) that could have an influence on the target community (e.g. competitors; Levine </w:t>
      </w:r>
      <w:r>
        <w:rPr>
          <w:i/>
          <w:iCs/>
        </w:rPr>
        <w:t>et al.</w:t>
      </w:r>
      <w:r>
        <w:t xml:space="preserve"> (</w:t>
      </w:r>
      <w:hyperlink w:anchor="ref-Levine_2017">
        <w:r>
          <w:rPr>
            <w:rStyle w:val="Lienhypertexte"/>
          </w:rPr>
          <w:t>2017</w:t>
        </w:r>
      </w:hyperlink>
      <w:r>
        <w:t>)). However, because many ecological studies only focus on particular taxonomic groups (</w:t>
      </w:r>
      <w:hyperlink w:anchor="ref-Pollock_2014">
        <w:r>
          <w:rPr>
            <w:rStyle w:val="Lienhypertexte"/>
          </w:rPr>
          <w:t xml:space="preserve">Pollock </w:t>
        </w:r>
        <w:r>
          <w:rPr>
            <w:rStyle w:val="Lienhypertexte"/>
            <w:i/>
            <w:iCs/>
          </w:rPr>
          <w:t>et al.</w:t>
        </w:r>
        <w:r>
          <w:rPr>
            <w:rStyle w:val="Lienhypertexte"/>
          </w:rPr>
          <w:t xml:space="preserve"> 2014</w:t>
        </w:r>
      </w:hyperlink>
      <w:r>
        <w:t xml:space="preserve"> ; </w:t>
      </w:r>
      <w:hyperlink w:anchor="ref-Hakkila_2018">
        <w:r>
          <w:rPr>
            <w:rStyle w:val="Lienhypertexte"/>
          </w:rPr>
          <w:t xml:space="preserve">Häkkilä </w:t>
        </w:r>
        <w:r>
          <w:rPr>
            <w:rStyle w:val="Lienhypertexte"/>
            <w:i/>
            <w:iCs/>
          </w:rPr>
          <w:t>et al.</w:t>
        </w:r>
        <w:r>
          <w:rPr>
            <w:rStyle w:val="Lienhypertexte"/>
          </w:rPr>
          <w:t xml:space="preserve"> 2018</w:t>
        </w:r>
      </w:hyperlink>
      <w:r>
        <w:t>), hence disregar</w:t>
      </w:r>
      <w:r>
        <w:t>ding non-target taxa, co-occurence patterns estimated from jSDMs are almost always skewed by missing ecological actors (</w:t>
      </w:r>
      <w:hyperlink w:anchor="ref-Momal_2021">
        <w:r>
          <w:rPr>
            <w:rStyle w:val="Lienhypertexte"/>
          </w:rPr>
          <w:t xml:space="preserve">Momal </w:t>
        </w:r>
        <w:r>
          <w:rPr>
            <w:rStyle w:val="Lienhypertexte"/>
            <w:i/>
            <w:iCs/>
          </w:rPr>
          <w:t>et al.</w:t>
        </w:r>
        <w:r>
          <w:rPr>
            <w:rStyle w:val="Lienhypertexte"/>
          </w:rPr>
          <w:t xml:space="preserve"> 2021</w:t>
        </w:r>
      </w:hyperlink>
      <w:r>
        <w:t>). How this bias affects the predictive ability of jSDM remains untested.</w:t>
      </w:r>
    </w:p>
    <w:p w:rsidR="00ED22E3" w:rsidRDefault="00BE0193">
      <w:pPr>
        <w:pStyle w:val="Corpsdetexte"/>
      </w:pPr>
      <w:r>
        <w:t>Finally,</w:t>
      </w:r>
      <w:r>
        <w:t xml:space="preserve"> similarly to SDMs, jSDMs can theoretically be extended to include additional sources of information about modelled species (</w:t>
      </w:r>
      <w:hyperlink w:anchor="ref-Niku_2019">
        <w:r>
          <w:rPr>
            <w:rStyle w:val="Lienhypertexte"/>
          </w:rPr>
          <w:t xml:space="preserve">Niku </w:t>
        </w:r>
        <w:r>
          <w:rPr>
            <w:rStyle w:val="Lienhypertexte"/>
            <w:i/>
            <w:iCs/>
          </w:rPr>
          <w:t>et al.</w:t>
        </w:r>
        <w:r>
          <w:rPr>
            <w:rStyle w:val="Lienhypertexte"/>
          </w:rPr>
          <w:t xml:space="preserve"> 2019</w:t>
        </w:r>
      </w:hyperlink>
      <w:r>
        <w:t xml:space="preserve"> ; </w:t>
      </w:r>
      <w:hyperlink w:anchor="ref-Ovaskainen_2017a">
        <w:r>
          <w:rPr>
            <w:rStyle w:val="Lienhypertexte"/>
          </w:rPr>
          <w:t xml:space="preserve">Ovaskainen </w:t>
        </w:r>
        <w:r>
          <w:rPr>
            <w:rStyle w:val="Lienhypertexte"/>
            <w:i/>
            <w:iCs/>
          </w:rPr>
          <w:t>et al.</w:t>
        </w:r>
        <w:r>
          <w:rPr>
            <w:rStyle w:val="Lienhypertexte"/>
          </w:rPr>
          <w:t xml:space="preserve"> 2017b</w:t>
        </w:r>
      </w:hyperlink>
      <w:r>
        <w:t>). For ins</w:t>
      </w:r>
      <w:r>
        <w:t>tance, accounting for phylogenetic relationships between species (</w:t>
      </w:r>
      <w:hyperlink w:anchor="ref-Ives_2011">
        <w:r>
          <w:rPr>
            <w:rStyle w:val="Lienhypertexte"/>
          </w:rPr>
          <w:t>Ives &amp; Helmus 2011</w:t>
        </w:r>
      </w:hyperlink>
      <w:r>
        <w:t>) or for the link between functional traits and environmental responses (</w:t>
      </w:r>
      <w:hyperlink w:anchor="ref-Pollock_2012">
        <w:r>
          <w:rPr>
            <w:rStyle w:val="Lienhypertexte"/>
          </w:rPr>
          <w:t xml:space="preserve">Pollock </w:t>
        </w:r>
        <w:r>
          <w:rPr>
            <w:rStyle w:val="Lienhypertexte"/>
            <w:i/>
            <w:iCs/>
          </w:rPr>
          <w:t>et al.</w:t>
        </w:r>
        <w:r>
          <w:rPr>
            <w:rStyle w:val="Lienhypertexte"/>
          </w:rPr>
          <w:t xml:space="preserve"> 2012</w:t>
        </w:r>
      </w:hyperlink>
      <w:r>
        <w:t>) hav</w:t>
      </w:r>
      <w:r>
        <w:t>e been shown to improve both the explanatory and the predictive powers of SDMs (</w:t>
      </w:r>
      <w:hyperlink w:anchor="ref-Morales-Castilla_2017">
        <w:r>
          <w:rPr>
            <w:rStyle w:val="Lienhypertexte"/>
          </w:rPr>
          <w:t xml:space="preserve">Morales-Castilla </w:t>
        </w:r>
        <w:r>
          <w:rPr>
            <w:rStyle w:val="Lienhypertexte"/>
            <w:i/>
            <w:iCs/>
          </w:rPr>
          <w:t>et al.</w:t>
        </w:r>
        <w:r>
          <w:rPr>
            <w:rStyle w:val="Lienhypertexte"/>
          </w:rPr>
          <w:t xml:space="preserve"> 2017</w:t>
        </w:r>
      </w:hyperlink>
      <w:r>
        <w:t xml:space="preserve"> ; </w:t>
      </w:r>
      <w:hyperlink w:anchor="ref-Vesk_2021">
        <w:r>
          <w:rPr>
            <w:rStyle w:val="Lienhypertexte"/>
          </w:rPr>
          <w:t xml:space="preserve">Vesk </w:t>
        </w:r>
        <w:r>
          <w:rPr>
            <w:rStyle w:val="Lienhypertexte"/>
            <w:i/>
            <w:iCs/>
          </w:rPr>
          <w:t>et al.</w:t>
        </w:r>
        <w:r>
          <w:rPr>
            <w:rStyle w:val="Lienhypertexte"/>
          </w:rPr>
          <w:t xml:space="preserve"> 2021</w:t>
        </w:r>
      </w:hyperlink>
      <w:r>
        <w:t>), which supports the hypothesis that similar</w:t>
      </w:r>
      <w:r>
        <w:t xml:space="preserve"> species in terms of traits and/or recent evolutionary history share similar environmental preferences. While similar effects related to inclusion of species-specific information are expected in jSDMs (</w:t>
      </w:r>
      <w:hyperlink w:anchor="ref-Ovaskainen_2017a">
        <w:r>
          <w:rPr>
            <w:rStyle w:val="Lienhypertexte"/>
          </w:rPr>
          <w:t xml:space="preserve">Ovaskainen </w:t>
        </w:r>
        <w:r>
          <w:rPr>
            <w:rStyle w:val="Lienhypertexte"/>
            <w:i/>
            <w:iCs/>
          </w:rPr>
          <w:t>et al.</w:t>
        </w:r>
        <w:r>
          <w:rPr>
            <w:rStyle w:val="Lienhypertexte"/>
          </w:rPr>
          <w:t xml:space="preserve"> 2017b</w:t>
        </w:r>
      </w:hyperlink>
      <w:r>
        <w:t>), the relative influence of additional sources of information on their interpretability and predictive power remains untested (</w:t>
      </w:r>
      <w:hyperlink w:anchor="ref-Norberg_2019">
        <w:r>
          <w:rPr>
            <w:rStyle w:val="Lienhypertexte"/>
          </w:rPr>
          <w:t xml:space="preserve">Norberg </w:t>
        </w:r>
        <w:r>
          <w:rPr>
            <w:rStyle w:val="Lienhypertexte"/>
            <w:i/>
            <w:iCs/>
          </w:rPr>
          <w:t>et al.</w:t>
        </w:r>
        <w:r>
          <w:rPr>
            <w:rStyle w:val="Lienhypertexte"/>
          </w:rPr>
          <w:t xml:space="preserve"> 2019</w:t>
        </w:r>
      </w:hyperlink>
      <w:r>
        <w:t xml:space="preserve"> ; </w:t>
      </w:r>
      <w:hyperlink w:anchor="ref-Wilkinson_2019">
        <w:r>
          <w:rPr>
            <w:rStyle w:val="Lienhypertexte"/>
          </w:rPr>
          <w:t xml:space="preserve">Wilkinson </w:t>
        </w:r>
        <w:r>
          <w:rPr>
            <w:rStyle w:val="Lienhypertexte"/>
            <w:i/>
            <w:iCs/>
          </w:rPr>
          <w:t>et a</w:t>
        </w:r>
        <w:r>
          <w:rPr>
            <w:rStyle w:val="Lienhypertexte"/>
            <w:i/>
            <w:iCs/>
          </w:rPr>
          <w:t>l.</w:t>
        </w:r>
        <w:r>
          <w:rPr>
            <w:rStyle w:val="Lienhypertexte"/>
          </w:rPr>
          <w:t xml:space="preserve"> 2019</w:t>
        </w:r>
      </w:hyperlink>
      <w:r>
        <w:t xml:space="preserve"> ; </w:t>
      </w:r>
      <w:hyperlink w:anchor="ref-Abrego_2022">
        <w:r>
          <w:rPr>
            <w:rStyle w:val="Lienhypertexte"/>
          </w:rPr>
          <w:t xml:space="preserve">Abrego </w:t>
        </w:r>
        <w:r>
          <w:rPr>
            <w:rStyle w:val="Lienhypertexte"/>
            <w:i/>
            <w:iCs/>
          </w:rPr>
          <w:t>et al.</w:t>
        </w:r>
        <w:r>
          <w:rPr>
            <w:rStyle w:val="Lienhypertexte"/>
          </w:rPr>
          <w:t xml:space="preserve"> 2022</w:t>
        </w:r>
      </w:hyperlink>
      <w:r>
        <w:t>).</w:t>
      </w:r>
    </w:p>
    <w:p w:rsidR="00ED22E3" w:rsidRDefault="00BE0193">
      <w:pPr>
        <w:pStyle w:val="Corpsdetexte"/>
      </w:pPr>
      <w:r>
        <w:t>Overall, many practical questions remain concerning the application of jSDMs to ecological community monitoring data in particular related to inclusion of additional sources of informatio</w:t>
      </w:r>
      <w:r>
        <w:t xml:space="preserve">n within the models. While some comparative assessments of jSDM performance exists (e.g. Norberg </w:t>
      </w:r>
      <w:r>
        <w:rPr>
          <w:i/>
          <w:iCs/>
        </w:rPr>
        <w:t>et al.</w:t>
      </w:r>
      <w:r>
        <w:t xml:space="preserve"> (</w:t>
      </w:r>
      <w:hyperlink w:anchor="ref-Norberg_2019">
        <w:r>
          <w:rPr>
            <w:rStyle w:val="Lienhypertexte"/>
          </w:rPr>
          <w:t>2019</w:t>
        </w:r>
      </w:hyperlink>
      <w:r>
        <w:t xml:space="preserve">), Wilkinson </w:t>
      </w:r>
      <w:r>
        <w:rPr>
          <w:i/>
          <w:iCs/>
        </w:rPr>
        <w:t>et al.</w:t>
      </w:r>
      <w:r>
        <w:t xml:space="preserve"> (</w:t>
      </w:r>
      <w:hyperlink w:anchor="ref-Wilkinson_2020">
        <w:r>
          <w:rPr>
            <w:rStyle w:val="Lienhypertexte"/>
          </w:rPr>
          <w:t>2020</w:t>
        </w:r>
      </w:hyperlink>
      <w:r>
        <w:t>)), including some comparison of the benef</w:t>
      </w:r>
      <w:r>
        <w:t xml:space="preserve">it of trait and phylogeny data in some phyla (e.g. Abrego </w:t>
      </w:r>
      <w:r>
        <w:rPr>
          <w:i/>
          <w:iCs/>
        </w:rPr>
        <w:t>et al.</w:t>
      </w:r>
      <w:r>
        <w:t xml:space="preserve"> (</w:t>
      </w:r>
      <w:hyperlink w:anchor="ref-Abrego_2022">
        <w:r>
          <w:rPr>
            <w:rStyle w:val="Lienhypertexte"/>
          </w:rPr>
          <w:t>2022</w:t>
        </w:r>
      </w:hyperlink>
      <w:r>
        <w:t>)), there has been no formal assessment of the relative importance of species-specific informations (trait and/or phylogeny) compared to the role of</w:t>
      </w:r>
      <w:r>
        <w:t xml:space="preserve"> missing species. Furthermore, comparative assessments have rarely been performed on both presence/absence and abundance data. To a few exceptions (</w:t>
      </w:r>
      <w:hyperlink w:anchor="ref-Waldock_2022">
        <w:r>
          <w:rPr>
            <w:rStyle w:val="Lienhypertexte"/>
          </w:rPr>
          <w:t xml:space="preserve">Waldock </w:t>
        </w:r>
        <w:r>
          <w:rPr>
            <w:rStyle w:val="Lienhypertexte"/>
            <w:i/>
            <w:iCs/>
          </w:rPr>
          <w:t>et al.</w:t>
        </w:r>
        <w:r>
          <w:rPr>
            <w:rStyle w:val="Lienhypertexte"/>
          </w:rPr>
          <w:t xml:space="preserve"> 2022</w:t>
        </w:r>
      </w:hyperlink>
      <w:r>
        <w:t>), most assessments remain focus only presence/abs</w:t>
      </w:r>
      <w:r>
        <w:t>ence data (</w:t>
      </w:r>
      <w:hyperlink w:anchor="ref-Norberg_2019">
        <w:r>
          <w:rPr>
            <w:rStyle w:val="Lienhypertexte"/>
          </w:rPr>
          <w:t xml:space="preserve">Norberg </w:t>
        </w:r>
        <w:r>
          <w:rPr>
            <w:rStyle w:val="Lienhypertexte"/>
            <w:i/>
            <w:iCs/>
          </w:rPr>
          <w:t>et al.</w:t>
        </w:r>
        <w:r>
          <w:rPr>
            <w:rStyle w:val="Lienhypertexte"/>
          </w:rPr>
          <w:t xml:space="preserve"> 2019</w:t>
        </w:r>
      </w:hyperlink>
      <w:r>
        <w:t xml:space="preserve"> ; </w:t>
      </w:r>
      <w:hyperlink w:anchor="ref-Wilkinson_2019">
        <w:r>
          <w:rPr>
            <w:rStyle w:val="Lienhypertexte"/>
          </w:rPr>
          <w:t xml:space="preserve">Wilkinson </w:t>
        </w:r>
        <w:r>
          <w:rPr>
            <w:rStyle w:val="Lienhypertexte"/>
            <w:i/>
            <w:iCs/>
          </w:rPr>
          <w:t>et al.</w:t>
        </w:r>
        <w:r>
          <w:rPr>
            <w:rStyle w:val="Lienhypertexte"/>
          </w:rPr>
          <w:t xml:space="preserve"> 2019</w:t>
        </w:r>
      </w:hyperlink>
      <w:r>
        <w:t xml:space="preserve">). They also mostly focus </w:t>
      </w:r>
      <w:r>
        <w:lastRenderedPageBreak/>
        <w:t>on predictive power (</w:t>
      </w:r>
      <w:hyperlink w:anchor="ref-Norberg_2019">
        <w:r>
          <w:rPr>
            <w:rStyle w:val="Lienhypertexte"/>
          </w:rPr>
          <w:t xml:space="preserve">Norberg </w:t>
        </w:r>
        <w:r>
          <w:rPr>
            <w:rStyle w:val="Lienhypertexte"/>
            <w:i/>
            <w:iCs/>
          </w:rPr>
          <w:t>et al.</w:t>
        </w:r>
        <w:r>
          <w:rPr>
            <w:rStyle w:val="Lienhypertexte"/>
          </w:rPr>
          <w:t xml:space="preserve"> 2019</w:t>
        </w:r>
      </w:hyperlink>
      <w:r>
        <w:t xml:space="preserve"> ; </w:t>
      </w:r>
      <w:hyperlink w:anchor="ref-Wilkinson_2019">
        <w:r>
          <w:rPr>
            <w:rStyle w:val="Lienhypertexte"/>
          </w:rPr>
          <w:t xml:space="preserve">Wilkinson </w:t>
        </w:r>
        <w:r>
          <w:rPr>
            <w:rStyle w:val="Lienhypertexte"/>
            <w:i/>
            <w:iCs/>
          </w:rPr>
          <w:t>et al.</w:t>
        </w:r>
        <w:r>
          <w:rPr>
            <w:rStyle w:val="Lienhypertexte"/>
          </w:rPr>
          <w:t xml:space="preserve"> 2019</w:t>
        </w:r>
      </w:hyperlink>
      <w:r>
        <w:t>) and dismiss the interpretability aspects of the models (</w:t>
      </w:r>
      <w:hyperlink w:anchor="ref-Tredennick_2021">
        <w:r>
          <w:rPr>
            <w:rStyle w:val="Lienhypertexte"/>
          </w:rPr>
          <w:t xml:space="preserve">Tredennick </w:t>
        </w:r>
        <w:r>
          <w:rPr>
            <w:rStyle w:val="Lienhypertexte"/>
            <w:i/>
            <w:iCs/>
          </w:rPr>
          <w:t>et al.</w:t>
        </w:r>
        <w:r>
          <w:rPr>
            <w:rStyle w:val="Lienhypertexte"/>
          </w:rPr>
          <w:t xml:space="preserve"> 2021</w:t>
        </w:r>
      </w:hyperlink>
      <w:r>
        <w:t>). Yet, jSDMs are increasingly fitted on abundance data (</w:t>
      </w:r>
      <w:hyperlink w:anchor="ref-Brimacombe_2020">
        <w:r>
          <w:rPr>
            <w:rStyle w:val="Lienhypertexte"/>
          </w:rPr>
          <w:t xml:space="preserve">Brimacombe </w:t>
        </w:r>
        <w:r>
          <w:rPr>
            <w:rStyle w:val="Lienhypertexte"/>
            <w:i/>
            <w:iCs/>
          </w:rPr>
          <w:t>et al.</w:t>
        </w:r>
        <w:r>
          <w:rPr>
            <w:rStyle w:val="Lienhypertexte"/>
          </w:rPr>
          <w:t xml:space="preserve"> 2020</w:t>
        </w:r>
      </w:hyperlink>
      <w:r>
        <w:t>) and for explanatory purposes (</w:t>
      </w:r>
      <w:hyperlink w:anchor="ref-Abrego_2016">
        <w:r>
          <w:rPr>
            <w:rStyle w:val="Lienhypertexte"/>
          </w:rPr>
          <w:t xml:space="preserve">Abrego </w:t>
        </w:r>
        <w:r>
          <w:rPr>
            <w:rStyle w:val="Lienhypertexte"/>
            <w:i/>
            <w:iCs/>
          </w:rPr>
          <w:t>et al.</w:t>
        </w:r>
        <w:r>
          <w:rPr>
            <w:rStyle w:val="Lienhypertexte"/>
          </w:rPr>
          <w:t xml:space="preserve"> 2017</w:t>
        </w:r>
      </w:hyperlink>
      <w:r>
        <w:t xml:space="preserve"> ; </w:t>
      </w:r>
      <w:hyperlink w:anchor="ref-Hakkila_2018">
        <w:r>
          <w:rPr>
            <w:rStyle w:val="Lienhypertexte"/>
          </w:rPr>
          <w:t xml:space="preserve">Häkkilä </w:t>
        </w:r>
        <w:r>
          <w:rPr>
            <w:rStyle w:val="Lienhypertexte"/>
            <w:i/>
            <w:iCs/>
          </w:rPr>
          <w:t>et al.</w:t>
        </w:r>
        <w:r>
          <w:rPr>
            <w:rStyle w:val="Lienhypertexte"/>
          </w:rPr>
          <w:t xml:space="preserve"> 2018</w:t>
        </w:r>
      </w:hyperlink>
      <w:r>
        <w:t>). Hence, there is a mismatch between current understanding of jSDMs performance and their application by ecologists. In practice, most jSDM applications consider a single model structure and do not explore the effects of including additional sources of in</w:t>
      </w:r>
      <w:r>
        <w:t>formation. In this study, we developed a multi-faceted assessment method to evaluate the extent to which various parameterization of jSDM can lead to a better interpretability and predictability of species distributions. For this purpose, we applied this g</w:t>
      </w:r>
      <w:r>
        <w:t>eneral framework to a case study presenting typical features of community ecology datasets. Specifically, by comparing predictions obtained from a baseline model excluding additional sources of information (i.e. a classical jSDM), we tested the effect of (</w:t>
      </w:r>
      <w:r>
        <w:t>1) including phylogeny alone and in combination with trait data, (2) incorporating monitoring information related non-target species and (3) considering abundance instead of presence/absence data. We hypothesized that all these sources of information shoul</w:t>
      </w:r>
      <w:r>
        <w:t>d improve jSDM predictive and explanatory powers, but did not assume a priori that a given modeling strategy would lead to greater improvements in model performances.</w:t>
      </w:r>
    </w:p>
    <w:p w:rsidR="00ED22E3" w:rsidRDefault="00BE0193">
      <w:pPr>
        <w:pStyle w:val="Titre1"/>
      </w:pPr>
      <w:bookmarkStart w:id="2" w:name="materials-methods"/>
      <w:bookmarkEnd w:id="1"/>
      <w:r>
        <w:t>Materials &amp; Methods</w:t>
      </w:r>
    </w:p>
    <w:p w:rsidR="00ED22E3" w:rsidRDefault="00BE0193">
      <w:pPr>
        <w:pStyle w:val="FirstParagraph"/>
      </w:pPr>
      <w:r>
        <w:t>We used the HMSC (Hierarchical Modeling of Species Communities) frame</w:t>
      </w:r>
      <w:r>
        <w:t>work applied to the long-term REBENT coastal monitoring dataset (</w:t>
      </w:r>
      <w:hyperlink r:id="rId7">
        <w:r>
          <w:rPr>
            <w:rStyle w:val="Lienhypertexte"/>
          </w:rPr>
          <w:t>rebent.ifremer.fr</w:t>
        </w:r>
      </w:hyperlink>
      <w:r>
        <w:t>). In the following subsections, we sequentially describe Fig. </w:t>
      </w:r>
      <w:hyperlink w:anchor="fig:workflow">
        <w:r>
          <w:rPr>
            <w:rStyle w:val="Lienhypertexte"/>
          </w:rPr>
          <w:t>1</w:t>
        </w:r>
      </w:hyperlink>
      <w:r>
        <w:t xml:space="preserve"> : (1) the HMSC framework, (2)</w:t>
      </w:r>
      <w:r>
        <w:t xml:space="preserve"> the data used in this study, (3) data splitting between training and testing sets to assess the explanatory and predictive powers of models, respectively, (4) the rationales for the suite of alternative models considered and, (5) the performance metrics u</w:t>
      </w:r>
      <w:r>
        <w:t>sed to compare models.</w:t>
      </w:r>
    </w:p>
    <w:p w:rsidR="00ED22E3" w:rsidRDefault="00BE0193">
      <w:pPr>
        <w:pStyle w:val="Corpsdetexte"/>
      </w:pPr>
      <w:bookmarkStart w:id="3" w:name="fig:workflow"/>
      <w:bookmarkEnd w:id="3"/>
      <w:r>
        <w:rPr>
          <w:noProof/>
        </w:rPr>
        <w:lastRenderedPageBreak/>
        <w:drawing>
          <wp:inline distT="0" distB="0" distL="0" distR="0">
            <wp:extent cx="3208045" cy="6116387"/>
            <wp:effectExtent l="0" t="0" r="0" b="0"/>
            <wp:docPr id="24" name="Picture" descr="Figure 1: Workflow of the study. A. Structure of a Hierarchical Model of Species Community (HMSC) including environmental variables, phylogeny and species-specific functional traits. B. Data pre-processing: community data partitioning between train and test datasets, estimating of phylogenetic distance between species (using taxonomic classification) and dimension reduction of species-trait matrix using a fuzzy-PCA. C. Summary of the four alternative model structures fitted both on presence/absence and abundance data: the Benchmark, Phylogeny and Traits &amp; Phylogeny models only considered polychaete species assemblage data, while the Whole Community model includes information related to additional species sampled alongside the target assemblage (i.e. non-target species that are not of direct interest but potentially interact with the target assemblage). Random effects accounting for the sampling year, site and habitat were included in all models."/>
            <wp:cNvGraphicFramePr/>
            <a:graphic xmlns:a="http://schemas.openxmlformats.org/drawingml/2006/main">
              <a:graphicData uri="http://schemas.openxmlformats.org/drawingml/2006/picture">
                <pic:pic xmlns:pic="http://schemas.openxmlformats.org/drawingml/2006/picture">
                  <pic:nvPicPr>
                    <pic:cNvPr id="25" name="Picture" descr="media/rId22.png"/>
                    <pic:cNvPicPr>
                      <a:picLocks noChangeAspect="1" noChangeArrowheads="1"/>
                    </pic:cNvPicPr>
                  </pic:nvPicPr>
                  <pic:blipFill>
                    <a:blip r:embed="rId8"/>
                    <a:stretch>
                      <a:fillRect/>
                    </a:stretch>
                  </pic:blipFill>
                  <pic:spPr bwMode="auto">
                    <a:xfrm>
                      <a:off x="0" y="0"/>
                      <a:ext cx="3208045" cy="6116387"/>
                    </a:xfrm>
                    <a:prstGeom prst="rect">
                      <a:avLst/>
                    </a:prstGeom>
                    <a:noFill/>
                    <a:ln w="9525">
                      <a:noFill/>
                      <a:headEnd/>
                      <a:tailEnd/>
                    </a:ln>
                  </pic:spPr>
                </pic:pic>
              </a:graphicData>
            </a:graphic>
          </wp:inline>
        </w:drawing>
      </w:r>
    </w:p>
    <w:p w:rsidR="00ED22E3" w:rsidRDefault="00BE0193">
      <w:pPr>
        <w:pStyle w:val="Corpsdetexte"/>
      </w:pPr>
      <w:r>
        <w:t>Figure 1: Workflow of the study. A. Structure of a Hierarchical Model of Species Community (HMSC) including environmental variables, phylogeny and species-specific functional traits. B. Data pre-processing: community data partition</w:t>
      </w:r>
      <w:r>
        <w:t xml:space="preserve">ing between train and test datasets, estimating of phylogenetic distance between species (using taxonomic classification) and dimension reduction of species-trait matrix using a fuzzy-PCA. C. Summary of the four alternative model structures fitted both on </w:t>
      </w:r>
      <w:r>
        <w:t xml:space="preserve">presence/absence and abundance data: the Benchmark, Phylogeny and Traits &amp; Phylogeny models only considered polychaete species assemblage data, while the Whole Community model includes information related to additional species sampled alongside the target </w:t>
      </w:r>
      <w:r>
        <w:t>assemblage (i.e. non-target species that are not of direct interest but potentially interact with the target assemblage). Random effects accounting for the sampling year, site and habitat were included in all models.</w:t>
      </w:r>
    </w:p>
    <w:p w:rsidR="00ED22E3" w:rsidRDefault="00BE0193">
      <w:pPr>
        <w:pStyle w:val="Titre2"/>
      </w:pPr>
      <w:bookmarkStart w:id="4" w:name="Xcf802a240da6276aa24dfb4f97d075c9aacec56"/>
      <w:r>
        <w:lastRenderedPageBreak/>
        <w:t>Hierarchical Modelling of Species Commu</w:t>
      </w:r>
      <w:r>
        <w:t>nity (HMSC)</w:t>
      </w:r>
    </w:p>
    <w:p w:rsidR="00ED22E3" w:rsidRDefault="00BE0193">
      <w:pPr>
        <w:pStyle w:val="FirstParagraph"/>
      </w:pPr>
      <w:r>
        <w:t>“HMSC is a multivariate hierarchical generalised linear mixed model adjusted with Bayesian inference rooted in assembly theory” (</w:t>
      </w:r>
      <w:hyperlink w:anchor="ref-Ovaskainen_2020">
        <w:r>
          <w:rPr>
            <w:rStyle w:val="Lienhypertexte"/>
          </w:rPr>
          <w:t>Ovaskainen &amp; Abrego 2020</w:t>
        </w:r>
      </w:hyperlink>
      <w:r>
        <w:t>). A HMSC model is composed of two parts: one tak</w:t>
      </w:r>
      <w:r>
        <w:t>ing into account fixed effects and the other taking into account random effects. The fixed part models the realised niche (i.e., the set of environmental conditions that is biotically suitable and accessible to the species; Ovaskainen &amp; Abrego (</w:t>
      </w:r>
      <w:hyperlink w:anchor="ref-Ovaskainen_2020">
        <w:r>
          <w:rPr>
            <w:rStyle w:val="Lienhypertexte"/>
          </w:rPr>
          <w:t>2020</w:t>
        </w:r>
      </w:hyperlink>
      <w:r>
        <w:t>)) of each species (B matrix), where each dimension of the niche is a covariate (e.g. temperature) included in the model (Fig. </w:t>
      </w:r>
      <w:hyperlink w:anchor="fig:workflow">
        <w:r>
          <w:rPr>
            <w:rStyle w:val="Lienhypertexte"/>
          </w:rPr>
          <w:t>1</w:t>
        </w:r>
      </w:hyperlink>
      <w:r>
        <w:t xml:space="preserve"> ; Ovaskainen &amp; Abrego (</w:t>
      </w:r>
      <w:hyperlink w:anchor="ref-Ovaskainen_2020">
        <w:r>
          <w:rPr>
            <w:rStyle w:val="Lienhypertexte"/>
          </w:rPr>
          <w:t>2020</w:t>
        </w:r>
      </w:hyperlink>
      <w:r>
        <w:t>)). Including trait data enables estimating of species-specific expected niche value by accounting for trait-environment relationships, where species with similar traits are expected to respond similarly along environmental gradients (Fig. </w:t>
      </w:r>
      <w:hyperlink w:anchor="fig:workflow">
        <w:r>
          <w:rPr>
            <w:rStyle w:val="Lienhypertexte"/>
          </w:rPr>
          <w:t>1</w:t>
        </w:r>
      </w:hyperlink>
      <w:r>
        <w:t xml:space="preserve"> ; Ovaskainen </w:t>
      </w:r>
      <w:r>
        <w:rPr>
          <w:i/>
          <w:iCs/>
        </w:rPr>
        <w:t>et al.</w:t>
      </w:r>
      <w:r>
        <w:t xml:space="preserve"> (</w:t>
      </w:r>
      <w:hyperlink w:anchor="ref-Ovaskainen_2017a">
        <w:r>
          <w:rPr>
            <w:rStyle w:val="Lienhypertexte"/>
          </w:rPr>
          <w:t>2017b</w:t>
        </w:r>
      </w:hyperlink>
      <w:r>
        <w:t>) ; Ovaskainen &amp; Abrego (</w:t>
      </w:r>
      <w:hyperlink w:anchor="ref-Ovaskainen_2020">
        <w:r>
          <w:rPr>
            <w:rStyle w:val="Lienhypertexte"/>
          </w:rPr>
          <w:t>2020</w:t>
        </w:r>
      </w:hyperlink>
      <w:r>
        <w:t>)). It is well-established that phylogenetically-close species tend to share simila</w:t>
      </w:r>
      <w:r>
        <w:t>r trait values or niches (</w:t>
      </w:r>
      <w:hyperlink w:anchor="ref-Wiens_2010">
        <w:r>
          <w:rPr>
            <w:rStyle w:val="Lienhypertexte"/>
          </w:rPr>
          <w:t xml:space="preserve">Wiens </w:t>
        </w:r>
        <w:r>
          <w:rPr>
            <w:rStyle w:val="Lienhypertexte"/>
            <w:i/>
            <w:iCs/>
          </w:rPr>
          <w:t>et al.</w:t>
        </w:r>
        <w:r>
          <w:rPr>
            <w:rStyle w:val="Lienhypertexte"/>
          </w:rPr>
          <w:t xml:space="preserve"> 2010</w:t>
        </w:r>
      </w:hyperlink>
      <w:r>
        <w:t>). Adding phylogenetic data to a HMSC model already including traits is not necessarily redundant because it could capture residual ecological information not included in the a</w:t>
      </w:r>
      <w:r>
        <w:t>vailable trait data. This can theoretically improve species niche estimates (</w:t>
      </w:r>
      <w:hyperlink w:anchor="ref-Ovaskainen_2020">
        <w:r>
          <w:rPr>
            <w:rStyle w:val="Lienhypertexte"/>
          </w:rPr>
          <w:t>Ovaskainen &amp; Abrego 2020</w:t>
        </w:r>
      </w:hyperlink>
      <w:r>
        <w:t>). Inclusion of such additional pieces of information can moreover improve model fit for rare species by borrowing information on traits- (or phylogenetic-) environment relationships estimated for common species that are similar in terms of traits (or phyl</w:t>
      </w:r>
      <w:r>
        <w:t>ogenetic; Ovaskainen &amp; Abrego (</w:t>
      </w:r>
      <w:hyperlink w:anchor="ref-Ovaskainen_2020">
        <w:r>
          <w:rPr>
            <w:rStyle w:val="Lienhypertexte"/>
          </w:rPr>
          <w:t>2020</w:t>
        </w:r>
      </w:hyperlink>
      <w:r>
        <w:t>)). This property is a main advantage of hierarchical models (</w:t>
      </w:r>
      <w:hyperlink w:anchor="ref-Gelman_2020">
        <w:r>
          <w:rPr>
            <w:rStyle w:val="Lienhypertexte"/>
          </w:rPr>
          <w:t xml:space="preserve">Gelman </w:t>
        </w:r>
        <w:r>
          <w:rPr>
            <w:rStyle w:val="Lienhypertexte"/>
            <w:i/>
            <w:iCs/>
          </w:rPr>
          <w:t>et al.</w:t>
        </w:r>
        <w:r>
          <w:rPr>
            <w:rStyle w:val="Lienhypertexte"/>
          </w:rPr>
          <w:t xml:space="preserve"> 2020</w:t>
        </w:r>
      </w:hyperlink>
      <w:r>
        <w:t>).</w:t>
      </w:r>
    </w:p>
    <w:p w:rsidR="00ED22E3" w:rsidRDefault="00BE0193">
      <w:pPr>
        <w:pStyle w:val="Corpsdetexte"/>
      </w:pPr>
      <w:r>
        <w:t>The random part of HMSC relies on latent variables. Specif</w:t>
      </w:r>
      <w:r>
        <w:t>ically, for each random effect, two matrices are estimated (</w:t>
      </w:r>
      <w:hyperlink w:anchor="ref-Ovaskainen_2017a">
        <w:r>
          <w:rPr>
            <w:rStyle w:val="Lienhypertexte"/>
          </w:rPr>
          <w:t xml:space="preserve">Ovaskainen </w:t>
        </w:r>
        <w:r>
          <w:rPr>
            <w:rStyle w:val="Lienhypertexte"/>
            <w:i/>
            <w:iCs/>
          </w:rPr>
          <w:t>et al.</w:t>
        </w:r>
        <w:r>
          <w:rPr>
            <w:rStyle w:val="Lienhypertexte"/>
          </w:rPr>
          <w:t xml:space="preserve"> 2017b</w:t>
        </w:r>
      </w:hyperlink>
      <w:r>
        <w:t xml:space="preserve"> ; </w:t>
      </w:r>
      <w:hyperlink w:anchor="ref-Tikhonov_2019b">
        <w:r>
          <w:rPr>
            <w:rStyle w:val="Lienhypertexte"/>
          </w:rPr>
          <w:t xml:space="preserve">Tikhonov </w:t>
        </w:r>
        <w:r>
          <w:rPr>
            <w:rStyle w:val="Lienhypertexte"/>
            <w:i/>
            <w:iCs/>
          </w:rPr>
          <w:t>et al.</w:t>
        </w:r>
        <w:r>
          <w:rPr>
            <w:rStyle w:val="Lienhypertexte"/>
          </w:rPr>
          <w:t xml:space="preserve"> 2019</w:t>
        </w:r>
      </w:hyperlink>
      <w:r>
        <w:t xml:space="preserve"> ; </w:t>
      </w:r>
      <w:hyperlink w:anchor="ref-Ovaskainen_2020">
        <w:r>
          <w:rPr>
            <w:rStyle w:val="Lienhypertexte"/>
          </w:rPr>
          <w:t>Ovaskainen &amp; Abrego 2</w:t>
        </w:r>
        <w:r>
          <w:rPr>
            <w:rStyle w:val="Lienhypertexte"/>
          </w:rPr>
          <w:t>020</w:t>
        </w:r>
      </w:hyperlink>
      <w:r>
        <w:t>): the $\Eta$ matrix (called site loadings i.e. latent variables) contains the values of missing covariates not included in the model (Fig. </w:t>
      </w:r>
      <w:hyperlink w:anchor="fig:workflow">
        <w:r>
          <w:rPr>
            <w:rStyle w:val="Lienhypertexte"/>
          </w:rPr>
          <w:t>1</w:t>
        </w:r>
      </w:hyperlink>
      <w:r>
        <w:t xml:space="preserve"> ; Ovaskainen </w:t>
      </w:r>
      <w:r>
        <w:rPr>
          <w:i/>
          <w:iCs/>
        </w:rPr>
        <w:t>et al.</w:t>
      </w:r>
      <w:r>
        <w:t xml:space="preserve"> (</w:t>
      </w:r>
      <w:hyperlink w:anchor="ref-Ovaskainen_2017a">
        <w:r>
          <w:rPr>
            <w:rStyle w:val="Lienhypertexte"/>
          </w:rPr>
          <w:t>2017b</w:t>
        </w:r>
      </w:hyperlink>
      <w:r>
        <w:t>) ; Ova</w:t>
      </w:r>
      <w:r>
        <w:t>skainen &amp; Abrego (</w:t>
      </w:r>
      <w:hyperlink w:anchor="ref-Ovaskainen_2020">
        <w:r>
          <w:rPr>
            <w:rStyle w:val="Lienhypertexte"/>
          </w:rPr>
          <w:t>2020</w:t>
        </w:r>
      </w:hyperlink>
      <w:r>
        <w:t xml:space="preserve">)); while the </w:t>
      </w:r>
      <m:oMath>
        <m:r>
          <w:rPr>
            <w:rFonts w:ascii="Cambria Math" w:hAnsi="Cambria Math"/>
          </w:rPr>
          <m:t>Λ</m:t>
        </m:r>
      </m:oMath>
      <w:r>
        <w:t xml:space="preserve"> matrix (called species loadings) corresponds to the response of the species to missing covariates (Fig. </w:t>
      </w:r>
      <w:hyperlink w:anchor="fig:workflow">
        <w:r>
          <w:rPr>
            <w:rStyle w:val="Lienhypertexte"/>
          </w:rPr>
          <w:t>1</w:t>
        </w:r>
      </w:hyperlink>
      <w:r>
        <w:t xml:space="preserve"> ; Ovaskainen </w:t>
      </w:r>
      <w:r>
        <w:rPr>
          <w:i/>
          <w:iCs/>
        </w:rPr>
        <w:t>et al.</w:t>
      </w:r>
      <w:r>
        <w:t xml:space="preserve"> (</w:t>
      </w:r>
      <w:hyperlink w:anchor="ref-Ovaskainen_2017a">
        <w:r>
          <w:rPr>
            <w:rStyle w:val="Lienhypertexte"/>
          </w:rPr>
          <w:t>2017b</w:t>
        </w:r>
      </w:hyperlink>
      <w:r>
        <w:t>) ; Ovaskainen &amp; Abrego (</w:t>
      </w:r>
      <w:hyperlink w:anchor="ref-Ovaskainen_2020">
        <w:r>
          <w:rPr>
            <w:rStyle w:val="Lienhypertexte"/>
          </w:rPr>
          <w:t>2020</w:t>
        </w:r>
      </w:hyperlink>
      <w:r>
        <w:t>)). These covariates thus capture residual variance, which can be due to various factors including missing environmental features or the effect of bio</w:t>
      </w:r>
      <w:r>
        <w:t>tic interactions (</w:t>
      </w:r>
      <w:hyperlink w:anchor="ref-Ovaskainen_2017b">
        <w:r>
          <w:rPr>
            <w:rStyle w:val="Lienhypertexte"/>
          </w:rPr>
          <w:t xml:space="preserve">Ovaskainen </w:t>
        </w:r>
        <w:r>
          <w:rPr>
            <w:rStyle w:val="Lienhypertexte"/>
            <w:i/>
            <w:iCs/>
          </w:rPr>
          <w:t>et al.</w:t>
        </w:r>
        <w:r>
          <w:rPr>
            <w:rStyle w:val="Lienhypertexte"/>
          </w:rPr>
          <w:t xml:space="preserve"> 2017a</w:t>
        </w:r>
      </w:hyperlink>
      <w:r>
        <w:t xml:space="preserve"> ; </w:t>
      </w:r>
      <w:hyperlink w:anchor="ref-Ovaskainen_2017a">
        <w:r>
          <w:rPr>
            <w:rStyle w:val="Lienhypertexte"/>
          </w:rPr>
          <w:t xml:space="preserve">Ovaskainen </w:t>
        </w:r>
        <w:r>
          <w:rPr>
            <w:rStyle w:val="Lienhypertexte"/>
            <w:i/>
            <w:iCs/>
          </w:rPr>
          <w:t>et al.</w:t>
        </w:r>
        <w:r>
          <w:rPr>
            <w:rStyle w:val="Lienhypertexte"/>
          </w:rPr>
          <w:t xml:space="preserve"> 2017b</w:t>
        </w:r>
      </w:hyperlink>
      <w:r>
        <w:t xml:space="preserve"> ; </w:t>
      </w:r>
      <w:hyperlink w:anchor="ref-Ovaskainen_2020">
        <w:r>
          <w:rPr>
            <w:rStyle w:val="Lienhypertexte"/>
          </w:rPr>
          <w:t>Ovaskainen &amp; Abrego 2020</w:t>
        </w:r>
      </w:hyperlink>
      <w:r>
        <w:t>).</w:t>
      </w:r>
    </w:p>
    <w:p w:rsidR="00ED22E3" w:rsidRDefault="00BE0193">
      <w:pPr>
        <w:pStyle w:val="Titre2"/>
      </w:pPr>
      <w:bookmarkStart w:id="5" w:name="datasets"/>
      <w:bookmarkEnd w:id="4"/>
      <w:r>
        <w:t>Datasets</w:t>
      </w:r>
    </w:p>
    <w:p w:rsidR="00ED22E3" w:rsidRDefault="00BE0193">
      <w:pPr>
        <w:pStyle w:val="Titre3"/>
      </w:pPr>
      <w:bookmarkStart w:id="6" w:name="faunistic-data"/>
      <w:r>
        <w:t>Faunistic data</w:t>
      </w:r>
    </w:p>
    <w:p w:rsidR="00ED22E3" w:rsidRDefault="00BE0193">
      <w:pPr>
        <w:pStyle w:val="FirstParagraph"/>
      </w:pPr>
      <w:r>
        <w:t>Faunistic data come from the REBENT programme (</w:t>
      </w:r>
      <w:hyperlink r:id="rId9">
        <w:r>
          <w:rPr>
            <w:rStyle w:val="Lienhypertexte"/>
          </w:rPr>
          <w:t>rebent.ifremer.fr</w:t>
        </w:r>
      </w:hyperlink>
      <w:r>
        <w:t xml:space="preserve">), which is a station-based ongoing monitoring network initiated in 2003 to detect, characterise and explain changes of coastal benthic macrofauna </w:t>
      </w:r>
      <w:r>
        <w:t>across Brittany’s coastline (Western France). Here, we focused on benthic infaunal communities found in two soft-bottom habitats: intertidal bare sediments and intertidal seagrass meadows (</w:t>
      </w:r>
      <w:r>
        <w:rPr>
          <w:i/>
          <w:iCs/>
        </w:rPr>
        <w:t>Zostera marina</w:t>
      </w:r>
      <w:r>
        <w:t xml:space="preserve">). Data from Boyé </w:t>
      </w:r>
      <w:r>
        <w:rPr>
          <w:i/>
          <w:iCs/>
        </w:rPr>
        <w:t>et al.</w:t>
      </w:r>
      <w:r>
        <w:t xml:space="preserve"> (</w:t>
      </w:r>
      <w:hyperlink w:anchor="ref-Boye_2019a">
        <w:r>
          <w:rPr>
            <w:rStyle w:val="Lienhypertexte"/>
          </w:rPr>
          <w:t>2019</w:t>
        </w:r>
      </w:hyperlink>
      <w:r>
        <w:t>), covering 23 sites (Fig. S1) monitored using the same protocol between 2006 and 2014, were used in this study. At each site, sampling consists in the collection of three sediment cores of 0.03m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that are pooled together and considered as a</w:t>
      </w:r>
      <w:r>
        <w:t xml:space="preserve"> single sampling unit at each site. For each sampling event, individuals were identified to the lowest taxonomic </w:t>
      </w:r>
      <w:r>
        <w:lastRenderedPageBreak/>
        <w:t>level possible (mostly species level; for simplicity we hereafter use the term “species”). A detailed description of the sampling methodology i</w:t>
      </w:r>
      <w:r>
        <w:t>s provided in (</w:t>
      </w:r>
      <w:hyperlink w:anchor="ref-Boye_2017">
        <w:r>
          <w:rPr>
            <w:rStyle w:val="Lienhypertexte"/>
          </w:rPr>
          <w:t xml:space="preserve">Boyé </w:t>
        </w:r>
        <w:r>
          <w:rPr>
            <w:rStyle w:val="Lienhypertexte"/>
            <w:i/>
            <w:iCs/>
          </w:rPr>
          <w:t>et al.</w:t>
        </w:r>
        <w:r>
          <w:rPr>
            <w:rStyle w:val="Lienhypertexte"/>
          </w:rPr>
          <w:t xml:space="preserve"> 2017</w:t>
        </w:r>
      </w:hyperlink>
      <w:r>
        <w:t xml:space="preserve"> ; </w:t>
      </w:r>
      <w:hyperlink w:anchor="ref-Boye_2019a">
        <w:r>
          <w:rPr>
            <w:rStyle w:val="Lienhypertexte"/>
          </w:rPr>
          <w:t xml:space="preserve">Boyé </w:t>
        </w:r>
        <w:r>
          <w:rPr>
            <w:rStyle w:val="Lienhypertexte"/>
            <w:i/>
            <w:iCs/>
          </w:rPr>
          <w:t>et al.</w:t>
        </w:r>
        <w:r>
          <w:rPr>
            <w:rStyle w:val="Lienhypertexte"/>
          </w:rPr>
          <w:t xml:space="preserve"> 2019</w:t>
        </w:r>
      </w:hyperlink>
      <w:r>
        <w:t>). Overall, across a total of 375 sampling units (i.e. unique combination of years, sites and habitats), 861,997 individuals belongin</w:t>
      </w:r>
      <w:r>
        <w:t>g to 821 species were collected and identified.</w:t>
      </w:r>
    </w:p>
    <w:p w:rsidR="00ED22E3" w:rsidRDefault="00BE0193">
      <w:pPr>
        <w:pStyle w:val="Titre3"/>
      </w:pPr>
      <w:bookmarkStart w:id="7" w:name="functional-traits-and-phylogeny-data"/>
      <w:bookmarkEnd w:id="6"/>
      <w:r>
        <w:t>Functional traits and phylogeny data</w:t>
      </w:r>
    </w:p>
    <w:p w:rsidR="00ED22E3" w:rsidRDefault="00BE0193">
      <w:pPr>
        <w:pStyle w:val="FirstParagraph"/>
      </w:pPr>
      <w:r>
        <w:t>We collated species-specific information related to functional traits and phylogeny for inclusion in different models. These data were particularly well resolved for the p</w:t>
      </w:r>
      <w:r>
        <w:t>olychaete community which therefore constitutes the main object of inference. Polychaeta is a taxonomic group composed of numerous species exhibiting diverse lifestyles (</w:t>
      </w:r>
      <w:hyperlink w:anchor="ref-Jumars_2015">
        <w:r>
          <w:rPr>
            <w:rStyle w:val="Lienhypertexte"/>
          </w:rPr>
          <w:t xml:space="preserve">Jumars </w:t>
        </w:r>
        <w:r>
          <w:rPr>
            <w:rStyle w:val="Lienhypertexte"/>
            <w:i/>
            <w:iCs/>
          </w:rPr>
          <w:t>et al.</w:t>
        </w:r>
        <w:r>
          <w:rPr>
            <w:rStyle w:val="Lienhypertexte"/>
          </w:rPr>
          <w:t xml:space="preserve"> 2015</w:t>
        </w:r>
      </w:hyperlink>
      <w:r>
        <w:t xml:space="preserve">) that can be used to monitor </w:t>
      </w:r>
      <w:r>
        <w:t>the health of benthic habitats (</w:t>
      </w:r>
      <w:hyperlink w:anchor="ref-Giangrande_2005">
        <w:r>
          <w:rPr>
            <w:rStyle w:val="Lienhypertexte"/>
          </w:rPr>
          <w:t xml:space="preserve">Giangrande </w:t>
        </w:r>
        <w:r>
          <w:rPr>
            <w:rStyle w:val="Lienhypertexte"/>
            <w:i/>
            <w:iCs/>
          </w:rPr>
          <w:t>et al.</w:t>
        </w:r>
        <w:r>
          <w:rPr>
            <w:rStyle w:val="Lienhypertexte"/>
          </w:rPr>
          <w:t xml:space="preserve"> 2005</w:t>
        </w:r>
      </w:hyperlink>
      <w:r>
        <w:t>). The polychaete traits data, which was available for the 99 polychaete species present in the training set, includes 11 fuzzy-coded traits for a total of 41 m</w:t>
      </w:r>
      <w:r>
        <w:t>odalities (</w:t>
      </w:r>
      <w:hyperlink w:anchor="ref-Boye_2019a">
        <w:r>
          <w:rPr>
            <w:rStyle w:val="Lienhypertexte"/>
          </w:rPr>
          <w:t xml:space="preserve">Boyé </w:t>
        </w:r>
        <w:r>
          <w:rPr>
            <w:rStyle w:val="Lienhypertexte"/>
            <w:i/>
            <w:iCs/>
          </w:rPr>
          <w:t>et al.</w:t>
        </w:r>
        <w:r>
          <w:rPr>
            <w:rStyle w:val="Lienhypertexte"/>
          </w:rPr>
          <w:t xml:space="preserve"> 2019</w:t>
        </w:r>
      </w:hyperlink>
      <w:r>
        <w:t xml:space="preserve">). Prior to jSDM fitting, the dimensionality of the trait matrix was reduced using a fuzzy-PCA with the </w:t>
      </w:r>
      <w:r>
        <w:rPr>
          <w:i/>
          <w:iCs/>
        </w:rPr>
        <w:t>fpca</w:t>
      </w:r>
      <w:r>
        <w:t xml:space="preserve"> function from the </w:t>
      </w:r>
      <w:r>
        <w:rPr>
          <w:i/>
          <w:iCs/>
        </w:rPr>
        <w:t>ade4</w:t>
      </w:r>
      <w:r>
        <w:t xml:space="preserve"> R package (</w:t>
      </w:r>
      <w:hyperlink w:anchor="ref-Thioulouse_2018">
        <w:r>
          <w:rPr>
            <w:rStyle w:val="Lienhypertexte"/>
          </w:rPr>
          <w:t>Thioulo</w:t>
        </w:r>
        <w:r>
          <w:rPr>
            <w:rStyle w:val="Lienhypertexte"/>
          </w:rPr>
          <w:t xml:space="preserve">use </w:t>
        </w:r>
        <w:r>
          <w:rPr>
            <w:rStyle w:val="Lienhypertexte"/>
            <w:i/>
            <w:iCs/>
          </w:rPr>
          <w:t>et al.</w:t>
        </w:r>
        <w:r>
          <w:rPr>
            <w:rStyle w:val="Lienhypertexte"/>
          </w:rPr>
          <w:t xml:space="preserve"> 2018</w:t>
        </w:r>
      </w:hyperlink>
      <w:r>
        <w:t>). The first three axes, which account for 59% of the total variance of the trait matrix, were included in the model as synthetic traits data (Fig. </w:t>
      </w:r>
      <w:hyperlink w:anchor="fig:workflow">
        <w:r>
          <w:rPr>
            <w:rStyle w:val="Lienhypertexte"/>
          </w:rPr>
          <w:t>1</w:t>
        </w:r>
      </w:hyperlink>
      <w:r>
        <w:t xml:space="preserve">). The first axis distinguishes mobile predatory species </w:t>
      </w:r>
      <w:r>
        <w:t>from sessile microphages; the second axis differentiates semelparous species from iteroparous species; and, the third axis separates burrowers from tube-dwellers (Fig. S5).</w:t>
      </w:r>
    </w:p>
    <w:p w:rsidR="00ED22E3" w:rsidRDefault="00BE0193">
      <w:pPr>
        <w:pStyle w:val="Corpsdetexte"/>
      </w:pPr>
      <w:r>
        <w:t xml:space="preserve">In complement to the traits information available for the 99 polychaete species of </w:t>
      </w:r>
      <w:r>
        <w:t>interest, we retrieved their taxonomic classification through the WoRMS database (</w:t>
      </w:r>
      <w:hyperlink r:id="rId10">
        <w:r>
          <w:rPr>
            <w:rStyle w:val="Lienhypertexte"/>
          </w:rPr>
          <w:t>www.marinespecies.org</w:t>
        </w:r>
      </w:hyperlink>
      <w:r>
        <w:t>; assessed in january 2020) and used this information as a proxy for phylogenetic relationships (Fig. </w:t>
      </w:r>
      <w:hyperlink w:anchor="fig:workflow">
        <w:r>
          <w:rPr>
            <w:rStyle w:val="Lienhypertexte"/>
          </w:rPr>
          <w:t>1</w:t>
        </w:r>
      </w:hyperlink>
      <w:r>
        <w:t xml:space="preserve"> ; Ricotta </w:t>
      </w:r>
      <w:r>
        <w:rPr>
          <w:i/>
          <w:iCs/>
        </w:rPr>
        <w:t>et al.</w:t>
      </w:r>
      <w:r>
        <w:t xml:space="preserve"> (</w:t>
      </w:r>
      <w:hyperlink w:anchor="ref-Ricotta_2012">
        <w:r>
          <w:rPr>
            <w:rStyle w:val="Lienhypertexte"/>
          </w:rPr>
          <w:t>2012</w:t>
        </w:r>
      </w:hyperlink>
      <w:r>
        <w:t>) ; Ovaskainen &amp; Abrego (</w:t>
      </w:r>
      <w:hyperlink w:anchor="ref-Ovaskainen_2020">
        <w:r>
          <w:rPr>
            <w:rStyle w:val="Lienhypertexte"/>
          </w:rPr>
          <w:t>2020</w:t>
        </w:r>
      </w:hyperlink>
      <w:r>
        <w:t xml:space="preserve">)). Phylogenetic distances between polychaete species were then estimated using the </w:t>
      </w:r>
      <w:r>
        <w:rPr>
          <w:i/>
          <w:iCs/>
        </w:rPr>
        <w:t>ape</w:t>
      </w:r>
      <w:r>
        <w:t xml:space="preserve"> </w:t>
      </w:r>
      <w:r>
        <w:t>R package (</w:t>
      </w:r>
      <w:hyperlink w:anchor="ref-Paradis_2019">
        <w:r>
          <w:rPr>
            <w:rStyle w:val="Lienhypertexte"/>
          </w:rPr>
          <w:t>Paradis &amp; Schliep 2019</w:t>
        </w:r>
      </w:hyperlink>
      <w:r>
        <w:t>).</w:t>
      </w:r>
    </w:p>
    <w:p w:rsidR="00ED22E3" w:rsidRDefault="00BE0193">
      <w:pPr>
        <w:pStyle w:val="Titre3"/>
      </w:pPr>
      <w:bookmarkStart w:id="8" w:name="environmental-data"/>
      <w:bookmarkEnd w:id="7"/>
      <w:r>
        <w:t>Environmental data</w:t>
      </w:r>
    </w:p>
    <w:p w:rsidR="00ED22E3" w:rsidRDefault="00BE0193">
      <w:pPr>
        <w:pStyle w:val="FirstParagraph"/>
      </w:pPr>
      <w:r>
        <w:t xml:space="preserve">Following Boyé </w:t>
      </w:r>
      <w:r>
        <w:rPr>
          <w:i/>
          <w:iCs/>
        </w:rPr>
        <w:t>et al.</w:t>
      </w:r>
      <w:r>
        <w:t xml:space="preserve"> (</w:t>
      </w:r>
      <w:hyperlink w:anchor="ref-Boye_2019a">
        <w:r>
          <w:rPr>
            <w:rStyle w:val="Lienhypertexte"/>
          </w:rPr>
          <w:t>2019</w:t>
        </w:r>
      </w:hyperlink>
      <w:r>
        <w:t xml:space="preserve">), we selected seven environmental variables to characterise the ecological niche of each species </w:t>
      </w:r>
      <w:r>
        <w:t>within the target community. These seven variables quantify different components of coastal environmental variability including hydrology (sea water temperature, salinity and current velocity), sedimentology (mud and organic matter content), substrate hete</w:t>
      </w:r>
      <w:r>
        <w:t>rogeneity (Trask index) and local wave exposure (fetch). For each of these seven variables, the first and second degree polynomials were computed to account for non-linear responses.</w:t>
      </w:r>
    </w:p>
    <w:p w:rsidR="00ED22E3" w:rsidRDefault="00BE0193">
      <w:pPr>
        <w:pStyle w:val="Titre2"/>
      </w:pPr>
      <w:bookmarkStart w:id="9" w:name="X178054b8fd642370a43cf15239d5ccedf683474"/>
      <w:bookmarkEnd w:id="5"/>
      <w:bookmarkEnd w:id="8"/>
      <w:r>
        <w:t>Comparison of alternative model structures</w:t>
      </w:r>
    </w:p>
    <w:p w:rsidR="00ED22E3" w:rsidRDefault="00BE0193">
      <w:pPr>
        <w:pStyle w:val="FirstParagraph"/>
      </w:pPr>
      <w:r>
        <w:t>The first model (benchmark mod</w:t>
      </w:r>
      <w:r>
        <w:t>el abbreviated as “Bench”) only relies on polychaete community data and environmental covariates (Fig. </w:t>
      </w:r>
      <w:hyperlink w:anchor="fig:workflow">
        <w:r>
          <w:rPr>
            <w:rStyle w:val="Lienhypertexte"/>
          </w:rPr>
          <w:t>1</w:t>
        </w:r>
      </w:hyperlink>
      <w:r>
        <w:t>). The second model (phylogenetic model abbreviated as “Ph”) adds phylogenetic data to the Bench model (Fig. </w:t>
      </w:r>
      <w:hyperlink w:anchor="fig:workflow">
        <w:r>
          <w:rPr>
            <w:rStyle w:val="Lienhypertexte"/>
          </w:rPr>
          <w:t>1</w:t>
        </w:r>
      </w:hyperlink>
      <w:r>
        <w:t>), which implies that rare species can thus benefit from phylogenetic-environment relationships estimated for closely related species (</w:t>
      </w:r>
      <w:hyperlink w:anchor="ref-Ives_2011">
        <w:r>
          <w:rPr>
            <w:rStyle w:val="Lienhypertexte"/>
          </w:rPr>
          <w:t>Ives &amp; Helmus 2011</w:t>
        </w:r>
      </w:hyperlink>
      <w:r>
        <w:t xml:space="preserve">). The third model (traits &amp; phylogeny </w:t>
      </w:r>
      <w:r>
        <w:t>model abbreviated as “TrPh”) adds traits data to the Ph model (Fig. </w:t>
      </w:r>
      <w:hyperlink w:anchor="fig:workflow">
        <w:r>
          <w:rPr>
            <w:rStyle w:val="Lienhypertexte"/>
          </w:rPr>
          <w:t>1</w:t>
        </w:r>
      </w:hyperlink>
      <w:r>
        <w:t xml:space="preserve">), which means that rare species can benefit from traits-environment relationships estimated for </w:t>
      </w:r>
      <w:r>
        <w:lastRenderedPageBreak/>
        <w:t>species presenting similar functional traits (whereas p</w:t>
      </w:r>
      <w:r>
        <w:t xml:space="preserve">hylogeny can capture ecological similarities between species, which are not captured by trait similarity; Pollock </w:t>
      </w:r>
      <w:r>
        <w:rPr>
          <w:i/>
          <w:iCs/>
        </w:rPr>
        <w:t>et al.</w:t>
      </w:r>
      <w:r>
        <w:t xml:space="preserve"> (</w:t>
      </w:r>
      <w:hyperlink w:anchor="ref-Pollock_2012">
        <w:r>
          <w:rPr>
            <w:rStyle w:val="Lienhypertexte"/>
          </w:rPr>
          <w:t>2012</w:t>
        </w:r>
      </w:hyperlink>
      <w:r>
        <w:t>)). Finally, the fourth model (whole community model abbreviated as “WhC”), adds informatio</w:t>
      </w:r>
      <w:r>
        <w:t>n about the whole community (i.e. including non-polychaete species for a total of 278 species) to the Bench model (only 99 polychaete; Fig. </w:t>
      </w:r>
      <w:hyperlink w:anchor="fig:workflow">
        <w:r>
          <w:rPr>
            <w:rStyle w:val="Lienhypertexte"/>
          </w:rPr>
          <w:t>1</w:t>
        </w:r>
      </w:hyperlink>
      <w:r>
        <w:t>). This model does not include trait or phylogenetic data for the sake of comput</w:t>
      </w:r>
      <w:r>
        <w:t>ation time. Each of these four models were fitted twice, either using presence/absence or abundance data. Each of these four models were fitted twice, either using presence/absence or abundance data. For presence/absence models, the data were modeled using</w:t>
      </w:r>
      <w:r>
        <w:t xml:space="preserve"> a probit distribution and lognormal Poisson for abundance models. All models include the same random effects (Fig. </w:t>
      </w:r>
      <w:hyperlink w:anchor="fig:workflow">
        <w:r>
          <w:rPr>
            <w:rStyle w:val="Lienhypertexte"/>
          </w:rPr>
          <w:t>1</w:t>
        </w:r>
      </w:hyperlink>
      <w:r>
        <w:t xml:space="preserve">): a temporal random effect to account for variability across years, a spatial random effect to account </w:t>
      </w:r>
      <w:r>
        <w:t>for variability across sites and another spatial random effect to account for variability across habitats (bare vs seagrass).</w:t>
      </w:r>
    </w:p>
    <w:p w:rsidR="00ED22E3" w:rsidRDefault="00BE0193">
      <w:pPr>
        <w:pStyle w:val="Titre2"/>
      </w:pPr>
      <w:bookmarkStart w:id="10" w:name="model-fitting-and-performance"/>
      <w:bookmarkEnd w:id="9"/>
      <w:r>
        <w:t>Model fitting and performance</w:t>
      </w:r>
    </w:p>
    <w:p w:rsidR="00ED22E3" w:rsidRDefault="00BE0193">
      <w:pPr>
        <w:pStyle w:val="Titre3"/>
      </w:pPr>
      <w:bookmarkStart w:id="11" w:name="X316193f53886133e95efc6723a03d6882542d5d"/>
      <w:r>
        <w:t>Model fitting using Markov Chain Monte Carlo</w:t>
      </w:r>
    </w:p>
    <w:p w:rsidR="00ED22E3" w:rsidRDefault="00BE0193">
      <w:pPr>
        <w:pStyle w:val="FirstParagraph"/>
      </w:pPr>
      <w:r>
        <w:t xml:space="preserve">HMSC uses a Bayesian framework for model fitting where </w:t>
      </w:r>
      <w:r>
        <w:t xml:space="preserve">the posterior distribution is sampled using a MCMC algorithm. For each model we ran 15 chains, each with 30,000 iterations. The first 10,000 iterations were discarded as burn-in while the remaining were thinned every 20 iterations yielding 1,000 posterior </w:t>
      </w:r>
      <w:r>
        <w:t>samples per chain. Hence, in total, 15,000 posterior samples were recorded for each parameter. Model convergence for each model parameter was assessed using the potential scale reduction factor (</w:t>
      </w:r>
      <w:hyperlink w:anchor="ref-Gelman_1992">
        <w:r>
          <w:rPr>
            <w:rStyle w:val="Lienhypertexte"/>
          </w:rPr>
          <w:t>Gelman &amp; Rubin 1992</w:t>
        </w:r>
      </w:hyperlink>
      <w:r>
        <w:t>) an</w:t>
      </w:r>
      <w:r>
        <w:t>d effective sample size are both reported in supplementary materials. All models were fitted using the supercomputing infrastructure DATARMOR, all chains of all models were sampled in parallel. The computation time ranged from more than 22h to more than 96</w:t>
      </w:r>
      <w:r>
        <w:t>h required between 10 and 30Gb of RAM depending on the model structure.</w:t>
      </w:r>
    </w:p>
    <w:p w:rsidR="00ED22E3" w:rsidRDefault="00BE0193">
      <w:pPr>
        <w:pStyle w:val="Titre3"/>
      </w:pPr>
      <w:bookmarkStart w:id="12" w:name="X7b9f2e1e8604e887332a30176552e3871d43f87"/>
      <w:bookmarkEnd w:id="11"/>
      <w:r>
        <w:t>Assessing model performance and interpretability</w:t>
      </w:r>
    </w:p>
    <w:p w:rsidR="00ED22E3" w:rsidRDefault="00BE0193">
      <w:pPr>
        <w:pStyle w:val="FirstParagraph"/>
      </w:pPr>
      <w:r>
        <w:t xml:space="preserve">In order to independently assess models’ predictive performance, and due to the high computational time, we chose to split the dataset </w:t>
      </w:r>
      <w:r>
        <w:t>into a training set and a test set rather than implementing a more complex cross-validation scheme. The training dataset includes 180 sampling units defined as unique combinations of years (varies between six and nine depending on sites), sites (21) and tw</w:t>
      </w:r>
      <w:r>
        <w:t>o habitats (Fig. S1). From this dataset, that originally contained 519 species, we removed the species that occurred less than four times across the 180 observational units to avoid convergence issues and poor model inference, leading to the removal of 241</w:t>
      </w:r>
      <w:r>
        <w:t xml:space="preserve"> species. The remaining 278 species encompassed the 99 polychaete species that made up the target community and the 179 non-target species that were included in the WhC model. These 179 non-target include bivalves, molluscs, amphipoda and other groups of w</w:t>
      </w:r>
      <w:r>
        <w:t>hich some species are known to be predators, or competitors for space or food for polychaetes (</w:t>
      </w:r>
      <w:hyperlink w:anchor="ref-Grall_2006">
        <w:r>
          <w:rPr>
            <w:rStyle w:val="Lienhypertexte"/>
          </w:rPr>
          <w:t xml:space="preserve">Grall </w:t>
        </w:r>
        <w:r>
          <w:rPr>
            <w:rStyle w:val="Lienhypertexte"/>
            <w:i/>
            <w:iCs/>
          </w:rPr>
          <w:t>et al.</w:t>
        </w:r>
        <w:r>
          <w:rPr>
            <w:rStyle w:val="Lienhypertexte"/>
          </w:rPr>
          <w:t xml:space="preserve"> 2006</w:t>
        </w:r>
      </w:hyperlink>
      <w:r>
        <w:t xml:space="preserve"> ; </w:t>
      </w:r>
      <w:hyperlink w:anchor="ref-Jankowska_2019">
        <w:r>
          <w:rPr>
            <w:rStyle w:val="Lienhypertexte"/>
          </w:rPr>
          <w:t xml:space="preserve">Jankowska </w:t>
        </w:r>
        <w:r>
          <w:rPr>
            <w:rStyle w:val="Lienhypertexte"/>
            <w:i/>
            <w:iCs/>
          </w:rPr>
          <w:t>et al.</w:t>
        </w:r>
        <w:r>
          <w:rPr>
            <w:rStyle w:val="Lienhypertexte"/>
          </w:rPr>
          <w:t xml:space="preserve"> 2019</w:t>
        </w:r>
      </w:hyperlink>
      <w:r>
        <w:t>). The test dataset was composed of 35 sampling units related to all surveys over a 9-year period at two specific sites , where both habitats (i.e. seagrass and bare sand) occur. Beyond the presence of both habitats, these two sites were also chosen becaus</w:t>
      </w:r>
      <w:r>
        <w:t xml:space="preserve">e they occur in environmental conditions that can be considered average at the scale of the region (thereby limiting </w:t>
      </w:r>
      <w:r>
        <w:lastRenderedPageBreak/>
        <w:t xml:space="preserve">extrapolation of the model; Boyé </w:t>
      </w:r>
      <w:r>
        <w:rPr>
          <w:i/>
          <w:iCs/>
        </w:rPr>
        <w:t>et al.</w:t>
      </w:r>
      <w:r>
        <w:t xml:space="preserve"> (</w:t>
      </w:r>
      <w:hyperlink w:anchor="ref-Boye_2017">
        <w:r>
          <w:rPr>
            <w:rStyle w:val="Lienhypertexte"/>
          </w:rPr>
          <w:t>2017</w:t>
        </w:r>
      </w:hyperlink>
      <w:r>
        <w:t xml:space="preserve">) ; Boyé </w:t>
      </w:r>
      <w:r>
        <w:rPr>
          <w:i/>
          <w:iCs/>
        </w:rPr>
        <w:t>et al.</w:t>
      </w:r>
      <w:r>
        <w:t xml:space="preserve"> (</w:t>
      </w:r>
      <w:hyperlink w:anchor="ref-Boye_2022">
        <w:r>
          <w:rPr>
            <w:rStyle w:val="Lienhypertexte"/>
          </w:rPr>
          <w:t>2022</w:t>
        </w:r>
      </w:hyperlink>
      <w:r>
        <w:t>)</w:t>
      </w:r>
      <w:r>
        <w:t xml:space="preserve"> ; Toumi Chirine (</w:t>
      </w:r>
      <w:hyperlink w:anchor="ref-Toumi_nd">
        <w:r>
          <w:rPr>
            <w:rStyle w:val="Lienhypertexte"/>
          </w:rPr>
          <w:t>n.d.</w:t>
        </w:r>
      </w:hyperlink>
      <w:r>
        <w:t>)) while still harbouring different communities, representative of the known diversity gradient across the region (</w:t>
      </w:r>
      <w:hyperlink w:anchor="ref-Boye_2017">
        <w:r>
          <w:rPr>
            <w:rStyle w:val="Lienhypertexte"/>
          </w:rPr>
          <w:t xml:space="preserve">Boyé </w:t>
        </w:r>
        <w:r>
          <w:rPr>
            <w:rStyle w:val="Lienhypertexte"/>
            <w:i/>
            <w:iCs/>
          </w:rPr>
          <w:t>et al.</w:t>
        </w:r>
        <w:r>
          <w:rPr>
            <w:rStyle w:val="Lienhypertexte"/>
          </w:rPr>
          <w:t xml:space="preserve"> 2017</w:t>
        </w:r>
      </w:hyperlink>
      <w:r>
        <w:t xml:space="preserve"> ; </w:t>
      </w:r>
      <w:hyperlink w:anchor="ref-Toumi_nd">
        <w:r>
          <w:rPr>
            <w:rStyle w:val="Lienhypertexte"/>
          </w:rPr>
          <w:t>Toumi Chirine n.d.</w:t>
        </w:r>
      </w:hyperlink>
      <w:r>
        <w:t>).</w:t>
      </w:r>
    </w:p>
    <w:p w:rsidR="00ED22E3" w:rsidRDefault="00BE0193">
      <w:pPr>
        <w:pStyle w:val="Corpsdetexte"/>
      </w:pPr>
      <w:r>
        <w:t xml:space="preserve">To investigate jSDM’s performance, models were evaluated using a set of complementary metrics to evaluate both their explanatory (predictions compared to observations of the train dataset) and predictive (predictions compared to </w:t>
      </w:r>
      <w:r>
        <w:t>observations of the test dataset) powers (</w:t>
      </w:r>
      <w:hyperlink w:anchor="ref-Wilkinson_2020">
        <w:r>
          <w:rPr>
            <w:rStyle w:val="Lienhypertexte"/>
          </w:rPr>
          <w:t xml:space="preserve">Wilkinson </w:t>
        </w:r>
        <w:r>
          <w:rPr>
            <w:rStyle w:val="Lienhypertexte"/>
            <w:i/>
            <w:iCs/>
          </w:rPr>
          <w:t>et al.</w:t>
        </w:r>
        <w:r>
          <w:rPr>
            <w:rStyle w:val="Lienhypertexte"/>
          </w:rPr>
          <w:t xml:space="preserve"> 2020</w:t>
        </w:r>
      </w:hyperlink>
      <w:r>
        <w:t>). To assess models’ performance, both overall (i.e., across all species) and at individual species level, we used AUC and root mean squared errors (RMS</w:t>
      </w:r>
      <w:r>
        <w:t>E) calculated only for target species for presence/absence and abundance models, respectively. For the “whole community” model that most improved predictive power (see results), we further explored species-specific gain in explanatory power by examining po</w:t>
      </w:r>
      <w:r>
        <w:t>tential correlations between (i) RMSE and the proportion of presences and (ii) RMSE and average abundance using the Kendall rank correlation coefficient.</w:t>
      </w:r>
    </w:p>
    <w:p w:rsidR="00ED22E3" w:rsidRDefault="00BE0193">
      <w:pPr>
        <w:pStyle w:val="Corpsdetexte"/>
      </w:pPr>
      <w:r>
        <w:t>While the AUC and the RMSE provide estimates of model performance, either overall or for individual sp</w:t>
      </w:r>
      <w:r>
        <w:t>ecies, these measures only partially capture model accuracy (or performance) at the community scale. Hence, we also explored differences between observed and predicted community composition (both for the train and test datasets) by decomposing the total be</w:t>
      </w:r>
      <w:r>
        <w:t xml:space="preserve">ta diversity (using the Sørensen index) into species turnover and nestedness using the </w:t>
      </w:r>
      <w:r>
        <w:rPr>
          <w:i/>
          <w:iCs/>
        </w:rPr>
        <w:t>betapart.temp</w:t>
      </w:r>
      <w:r>
        <w:t xml:space="preserve"> function from the </w:t>
      </w:r>
      <w:r>
        <w:rPr>
          <w:i/>
          <w:iCs/>
        </w:rPr>
        <w:t>betapart</w:t>
      </w:r>
      <w:r>
        <w:t xml:space="preserve"> R package (</w:t>
      </w:r>
      <w:hyperlink w:anchor="ref-Baselga_2010">
        <w:r>
          <w:rPr>
            <w:rStyle w:val="Lienhypertexte"/>
          </w:rPr>
          <w:t>Baselga 2010</w:t>
        </w:r>
      </w:hyperlink>
      <w:r>
        <w:t xml:space="preserve"> ; </w:t>
      </w:r>
      <w:hyperlink w:anchor="ref-Baselga_2022">
        <w:r>
          <w:rPr>
            <w:rStyle w:val="Lienhypertexte"/>
          </w:rPr>
          <w:t xml:space="preserve">Baselga </w:t>
        </w:r>
        <w:r>
          <w:rPr>
            <w:rStyle w:val="Lienhypertexte"/>
            <w:i/>
            <w:iCs/>
          </w:rPr>
          <w:t>et al.</w:t>
        </w:r>
        <w:r>
          <w:rPr>
            <w:rStyle w:val="Lienhypertexte"/>
          </w:rPr>
          <w:t xml:space="preserve"> 2022</w:t>
        </w:r>
      </w:hyperlink>
      <w:r>
        <w:t>). Fo</w:t>
      </w:r>
      <w:r>
        <w:t>r abundance models, predictions were transformed to presence/absence before computing beta diversity (i.e. all non-zero abundance predictions were considered as presences). Thus, this framework assigns a total beta diversity of zero to a model predicting t</w:t>
      </w:r>
      <w:r>
        <w:t xml:space="preserve">he exact observed community, whereas a model predicting a completely different community compared to observations is associated with a total beta diversity of one. Moreover, using Baselga </w:t>
      </w:r>
      <w:r>
        <w:rPr>
          <w:i/>
          <w:iCs/>
        </w:rPr>
        <w:t>et al.</w:t>
      </w:r>
      <w:r>
        <w:t xml:space="preserve"> (2022)’s framework, we decomposed beta diversity (i.e. predic</w:t>
      </w:r>
      <w:r>
        <w:t>ted error in community composition) according to two components: (1) turnover, if model correctly estimates observed species richness but mispredicts species identity and (2) nestedness, if model correctly predicts the identity of observed species but omit</w:t>
      </w:r>
      <w:r>
        <w:t>s some.</w:t>
      </w:r>
    </w:p>
    <w:p w:rsidR="00ED22E3" w:rsidRDefault="00BE0193">
      <w:pPr>
        <w:pStyle w:val="Corpsdetexte"/>
      </w:pPr>
      <w:r>
        <w:t>To assess model interpretability, we calculated the proportion of explained variance attributed either to environmental covariates (fixed effects) or to random effects. To evaluate the effect of model structure on estimated species-environment rela</w:t>
      </w:r>
      <w:r>
        <w:t>tionships, we classified the shapes of estimated response curves inferred from the different models according to nine categories that characterise both their direction (decline, null or increase) and their acceleration (decelerated, constant or accelerated</w:t>
      </w:r>
      <w:r>
        <w:t>) (</w:t>
      </w:r>
      <w:hyperlink w:anchor="ref-Rigal_2020">
        <w:r>
          <w:rPr>
            <w:rStyle w:val="Lienhypertexte"/>
          </w:rPr>
          <w:t xml:space="preserve">Rigal </w:t>
        </w:r>
        <w:r>
          <w:rPr>
            <w:rStyle w:val="Lienhypertexte"/>
            <w:i/>
            <w:iCs/>
          </w:rPr>
          <w:t>et al.</w:t>
        </w:r>
        <w:r>
          <w:rPr>
            <w:rStyle w:val="Lienhypertexte"/>
          </w:rPr>
          <w:t xml:space="preserve"> 2020</w:t>
        </w:r>
      </w:hyperlink>
      <w:r>
        <w:t>). We then looked for differences between models in terms of proportion of estimated response curves across each of these nine categories. Finally, to compare changes in random effects across models,</w:t>
      </w:r>
      <w:r>
        <w:t xml:space="preserve"> we estimated differences between the Bench model and the best performing model in terms of residual co-occurrence patterns for target species. We specifically quantified differences between models in both magnitude and sign of residual species-species cor</w:t>
      </w:r>
      <w:r>
        <w:t>relations using the following index:</w:t>
      </w:r>
    </w:p>
    <w:p w:rsidR="00ED22E3" w:rsidRDefault="00BE0193">
      <w:pPr>
        <w:pStyle w:val="Corpsdetexte"/>
      </w:pPr>
      <m:oMathPara>
        <m:oMathParaPr>
          <m:jc m:val="center"/>
        </m:oMathParaPr>
        <m:oMath>
          <m:r>
            <m:rPr>
              <m:nor/>
            </m:rPr>
            <m:t>Index</m:t>
          </m:r>
          <m:r>
            <m:rPr>
              <m:sty m:val="p"/>
            </m:rPr>
            <w:rPr>
              <w:rFonts w:ascii="Cambria Math" w:hAnsi="Cambria Math"/>
            </w:rPr>
            <m:t>=</m:t>
          </m:r>
          <m:d>
            <m:dPr>
              <m:begChr m:val="|"/>
              <m:endChr m:val="|"/>
              <m:ctrlPr>
                <w:rPr>
                  <w:rFonts w:ascii="Cambria Math" w:hAnsi="Cambria Math"/>
                </w:rPr>
              </m:ctrlPr>
            </m:dPr>
            <m:e>
              <m:r>
                <w:rPr>
                  <w:rFonts w:ascii="Cambria Math" w:hAnsi="Cambria Math"/>
                </w:rPr>
                <m:t>cor</m:t>
              </m:r>
              <m:sSub>
                <m:sSubPr>
                  <m:ctrlPr>
                    <w:rPr>
                      <w:rFonts w:ascii="Cambria Math" w:hAnsi="Cambria Math"/>
                    </w:rPr>
                  </m:ctrlPr>
                </m:sSubPr>
                <m:e>
                  <m:r>
                    <w:rPr>
                      <w:rFonts w:ascii="Cambria Math" w:hAnsi="Cambria Math"/>
                    </w:rPr>
                    <m:t>r</m:t>
                  </m:r>
                </m:e>
                <m:sub>
                  <m:r>
                    <m:rPr>
                      <m:nor/>
                    </m:rPr>
                    <m:t>best model</m:t>
                  </m:r>
                </m:sub>
              </m:sSub>
              <m:r>
                <m:rPr>
                  <m:sty m:val="p"/>
                </m:rPr>
                <w:rPr>
                  <w:rFonts w:ascii="Cambria Math" w:hAnsi="Cambria Math"/>
                </w:rPr>
                <m:t>-</m:t>
              </m:r>
              <m:r>
                <w:rPr>
                  <w:rFonts w:ascii="Cambria Math" w:hAnsi="Cambria Math"/>
                </w:rPr>
                <m:t>cor</m:t>
              </m:r>
              <m:sSub>
                <m:sSubPr>
                  <m:ctrlPr>
                    <w:rPr>
                      <w:rFonts w:ascii="Cambria Math" w:hAnsi="Cambria Math"/>
                    </w:rPr>
                  </m:ctrlPr>
                </m:sSubPr>
                <m:e>
                  <m:r>
                    <w:rPr>
                      <w:rFonts w:ascii="Cambria Math" w:hAnsi="Cambria Math"/>
                    </w:rPr>
                    <m:t>r</m:t>
                  </m:r>
                </m:e>
                <m:sub>
                  <m:r>
                    <m:rPr>
                      <m:nor/>
                    </m:rPr>
                    <m:t>benchmark</m:t>
                  </m:r>
                </m:sub>
              </m:sSub>
            </m:e>
          </m:d>
          <m:r>
            <m:rPr>
              <m:sty m:val="p"/>
            </m:rPr>
            <w:rPr>
              <w:rFonts w:ascii="Cambria Math" w:hAnsi="Cambria Math"/>
            </w:rPr>
            <m:t>×</m:t>
          </m:r>
          <m:r>
            <w:rPr>
              <w:rFonts w:ascii="Cambria Math" w:hAnsi="Cambria Math"/>
            </w:rPr>
            <m:t>sign</m:t>
          </m:r>
          <m:d>
            <m:dPr>
              <m:ctrlPr>
                <w:rPr>
                  <w:rFonts w:ascii="Cambria Math" w:hAnsi="Cambria Math"/>
                </w:rPr>
              </m:ctrlPr>
            </m:dPr>
            <m:e>
              <m:r>
                <w:rPr>
                  <w:rFonts w:ascii="Cambria Math" w:hAnsi="Cambria Math"/>
                </w:rPr>
                <m:t>cor</m:t>
              </m:r>
              <m:sSub>
                <m:sSubPr>
                  <m:ctrlPr>
                    <w:rPr>
                      <w:rFonts w:ascii="Cambria Math" w:hAnsi="Cambria Math"/>
                    </w:rPr>
                  </m:ctrlPr>
                </m:sSubPr>
                <m:e>
                  <m:r>
                    <w:rPr>
                      <w:rFonts w:ascii="Cambria Math" w:hAnsi="Cambria Math"/>
                    </w:rPr>
                    <m:t>r</m:t>
                  </m:r>
                </m:e>
                <m:sub>
                  <m:r>
                    <m:rPr>
                      <m:nor/>
                    </m:rPr>
                    <m:t>best model</m:t>
                  </m:r>
                </m:sub>
              </m:sSub>
              <m:r>
                <m:rPr>
                  <m:sty m:val="p"/>
                </m:rPr>
                <w:rPr>
                  <w:rFonts w:ascii="Cambria Math" w:hAnsi="Cambria Math"/>
                </w:rPr>
                <m:t>×</m:t>
              </m:r>
              <m:r>
                <w:rPr>
                  <w:rFonts w:ascii="Cambria Math" w:hAnsi="Cambria Math"/>
                </w:rPr>
                <m:t>cor</m:t>
              </m:r>
              <m:sSub>
                <m:sSubPr>
                  <m:ctrlPr>
                    <w:rPr>
                      <w:rFonts w:ascii="Cambria Math" w:hAnsi="Cambria Math"/>
                    </w:rPr>
                  </m:ctrlPr>
                </m:sSubPr>
                <m:e>
                  <m:r>
                    <w:rPr>
                      <w:rFonts w:ascii="Cambria Math" w:hAnsi="Cambria Math"/>
                    </w:rPr>
                    <m:t>r</m:t>
                  </m:r>
                </m:e>
                <m:sub>
                  <m:r>
                    <m:rPr>
                      <m:nor/>
                    </m:rPr>
                    <m:t>benchmark</m:t>
                  </m:r>
                </m:sub>
              </m:sSub>
            </m:e>
          </m:d>
        </m:oMath>
      </m:oMathPara>
    </w:p>
    <w:p w:rsidR="00ED22E3" w:rsidRDefault="00BE0193">
      <w:pPr>
        <w:pStyle w:val="Titre1"/>
      </w:pPr>
      <w:bookmarkStart w:id="13" w:name="results"/>
      <w:bookmarkEnd w:id="2"/>
      <w:bookmarkEnd w:id="10"/>
      <w:bookmarkEnd w:id="12"/>
      <w:r>
        <w:lastRenderedPageBreak/>
        <w:t>Results</w:t>
      </w:r>
    </w:p>
    <w:p w:rsidR="00ED22E3" w:rsidRDefault="00BE0193">
      <w:pPr>
        <w:pStyle w:val="FirstParagraph"/>
      </w:pPr>
      <w:r>
        <w:t>Both MCMC convergence and effective sample size of the different jSDMs were satisfactory (see Appendix B).</w:t>
      </w:r>
    </w:p>
    <w:p w:rsidR="00ED22E3" w:rsidRDefault="00BE0193">
      <w:pPr>
        <w:pStyle w:val="Titre2"/>
      </w:pPr>
      <w:bookmarkStart w:id="14" w:name="model-fit-predictive-power"/>
      <w:r>
        <w:t>Model Fit &amp; Predictive power</w:t>
      </w:r>
    </w:p>
    <w:p w:rsidR="00ED22E3" w:rsidRDefault="00BE0193">
      <w:pPr>
        <w:pStyle w:val="Titre3"/>
      </w:pPr>
      <w:bookmarkStart w:id="15" w:name="species-level"/>
      <w:r>
        <w:t>Species level</w:t>
      </w:r>
    </w:p>
    <w:p w:rsidR="00ED22E3" w:rsidRDefault="00BE0193">
      <w:pPr>
        <w:pStyle w:val="FirstParagraph"/>
      </w:pPr>
      <w:r>
        <w:t>Presence/absence models presented an excellent explanatory power as reflected by mean AUC on the training data over 0.9 (Fig. S4). Conversely, their predictive power was rather low given a mean AUC estimated on th</w:t>
      </w:r>
      <w:r>
        <w:t>e test data of ~0.65 (Fig. S4). For abundance models, mean RMSE computed on the training set ranged from 8.94 to 9.35 (Fig. S4). Their predictive power was heterogeneous with the whole community (WhC) model presenting the highest performance in order of ma</w:t>
      </w:r>
      <w:r>
        <w:t>gnitude (</w:t>
      </w:r>
      <m:oMath>
        <m:r>
          <m:rPr>
            <m:nor/>
          </m:rPr>
          <m:t>mean</m:t>
        </m:r>
        <m:r>
          <w:rPr>
            <w:rFonts w:ascii="Cambria Math" w:hAnsi="Cambria Math"/>
          </w:rPr>
          <m:t>RMSE</m:t>
        </m:r>
        <m:r>
          <m:rPr>
            <m:sty m:val="p"/>
          </m:rPr>
          <w:rPr>
            <w:rFonts w:ascii="Cambria Math" w:hAnsi="Cambria Math"/>
          </w:rPr>
          <m:t>=</m:t>
        </m:r>
        <m:r>
          <w:rPr>
            <w:rFonts w:ascii="Cambria Math" w:hAnsi="Cambria Math"/>
          </w:rPr>
          <m:t>5.83</m:t>
        </m:r>
      </m:oMath>
      <w:r>
        <w:t>) than the benchmark model (Bench) (</w:t>
      </w:r>
      <m:oMath>
        <m:r>
          <m:rPr>
            <m:nor/>
          </m:rPr>
          <m:t>mean RMSE</m:t>
        </m:r>
        <m:r>
          <m:rPr>
            <m:sty m:val="p"/>
          </m:rPr>
          <w:rPr>
            <w:rFonts w:ascii="Cambria Math" w:hAnsi="Cambria Math"/>
          </w:rPr>
          <m:t>=</m:t>
        </m:r>
        <m:r>
          <w:rPr>
            <w:rFonts w:ascii="Cambria Math" w:hAnsi="Cambria Math"/>
          </w:rPr>
          <m:t>53.7</m:t>
        </m:r>
      </m:oMath>
      <w:r>
        <w:t>), the phyloheny (Ph) model (</w:t>
      </w:r>
      <m:oMath>
        <m:r>
          <m:rPr>
            <m:nor/>
          </m:rPr>
          <m:t>mean RMSE</m:t>
        </m:r>
        <m:r>
          <m:rPr>
            <m:sty m:val="p"/>
          </m:rPr>
          <w:rPr>
            <w:rFonts w:ascii="Cambria Math" w:hAnsi="Cambria Math"/>
          </w:rPr>
          <m:t>=</m:t>
        </m:r>
        <m:r>
          <w:rPr>
            <w:rFonts w:ascii="Cambria Math" w:hAnsi="Cambria Math"/>
          </w:rPr>
          <m:t>63.7</m:t>
        </m:r>
      </m:oMath>
      <w:r>
        <w:t>) and the traits &amp; phylogeny model (</w:t>
      </w:r>
      <m:oMath>
        <m:r>
          <m:rPr>
            <m:nor/>
          </m:rPr>
          <m:t>mean RMSE</m:t>
        </m:r>
        <m:r>
          <m:rPr>
            <m:sty m:val="p"/>
          </m:rPr>
          <w:rPr>
            <w:rFonts w:ascii="Cambria Math" w:hAnsi="Cambria Math"/>
          </w:rPr>
          <m:t>=</m:t>
        </m:r>
        <m:r>
          <w:rPr>
            <w:rFonts w:ascii="Cambria Math" w:hAnsi="Cambria Math"/>
          </w:rPr>
          <m:t>95.3</m:t>
        </m:r>
      </m:oMath>
      <w:r>
        <w:t>) (Fig. S4).</w:t>
      </w:r>
    </w:p>
    <w:p w:rsidR="00ED22E3" w:rsidRDefault="00BE0193">
      <w:pPr>
        <w:pStyle w:val="Corpsdetexte"/>
      </w:pPr>
      <w:r>
        <w:t>Relative to the benchmark model (Fig. </w:t>
      </w:r>
      <w:hyperlink w:anchor="fig:fig2">
        <w:r>
          <w:rPr>
            <w:rStyle w:val="Lienhypertexte"/>
          </w:rPr>
          <w:t>2</w:t>
        </w:r>
      </w:hyperlink>
      <w:r>
        <w:t>), m</w:t>
      </w:r>
      <w:r>
        <w:t>odel explanatory power only sightly decreased for both TrPh (mean increase in RMSE +0.8% and decrease in AUC of -0.6%) and Ph models (mean increase in RMSE of +0.5% and decrease in AUC -0.6%). Explanatory power only slightly increased for the WhC models (m</w:t>
      </w:r>
      <w:r>
        <w:t>ean decrease in RMSE of -3.6% and increase in AUC +0.3%). In terms of predictive power, performance mostly increased for the WhC abundance model with a mean decrease in RMSE of 26% relative to the benchmark model. This improvement concerned 62 species (mea</w:t>
      </w:r>
      <w:r>
        <w:t>n decrease in RMSE of -49.3%; 10h and 90th deciles [-94.8% ; -9.7%] for these species) whereas 12 species presented a performance decrease (+36% RMSE; 10th and 90th deciles [10% ; 70.1%]). Only 32 and 36 species were improved for TrPH and Ph models, with m</w:t>
      </w:r>
      <w:r>
        <w:t>ean decrease/increase in RMSE of 26.5% and 24.9% across all species, respectively.</w:t>
      </w:r>
    </w:p>
    <w:p w:rsidR="00ED22E3" w:rsidRDefault="00BE0193">
      <w:pPr>
        <w:pStyle w:val="Corpsdetexte"/>
      </w:pPr>
      <w:r>
        <w:t>Model explanatory performance increased for the most common (correlation between RMSE and proportion of presence: Kendall’s τ = -0.28, p-value &lt; 1e-5) and abundant (correlat</w:t>
      </w:r>
      <w:r>
        <w:t>ion between RMSE and average species abundance: Kendall’s τ = -0.29, p-value &lt; 1e-4).</w:t>
      </w:r>
    </w:p>
    <w:p w:rsidR="00ED22E3" w:rsidRDefault="00BE0193">
      <w:pPr>
        <w:pStyle w:val="Corpsdetexte"/>
      </w:pPr>
      <w:bookmarkStart w:id="16" w:name="fig:fig2"/>
      <w:bookmarkEnd w:id="16"/>
      <w:r>
        <w:rPr>
          <w:noProof/>
        </w:rPr>
        <w:lastRenderedPageBreak/>
        <w:drawing>
          <wp:inline distT="0" distB="0" distL="0" distR="0">
            <wp:extent cx="5334000" cy="4000022"/>
            <wp:effectExtent l="0" t="0" r="0" b="0"/>
            <wp:docPr id="39" name="Picture" descr="Figure 2: Relative change in explanatory (left column; panels A and C) and predictive (right column; panels B and D) power of different model structures (as colour-coded: purple for benchmark (Bench), yellow for phylogeny (Ph), red for traits &amp; phylogeny (TrPh), and green for whole community (WhC) models). Relative changes (in %) are expressed relative to the benchmark fitted on presence/absence (top row; panels A and B) or abundance (bottom row; panels C and D) data. In all panels, points above the zero line (i.e. increase in AUC for panels A-B but decrease in RMSE for panels C-D) indicate performance gain."/>
            <wp:cNvGraphicFramePr/>
            <a:graphic xmlns:a="http://schemas.openxmlformats.org/drawingml/2006/main">
              <a:graphicData uri="http://schemas.openxmlformats.org/drawingml/2006/picture">
                <pic:pic xmlns:pic="http://schemas.openxmlformats.org/drawingml/2006/picture">
                  <pic:nvPicPr>
                    <pic:cNvPr id="40" name="Picture" descr="media/rId37.png"/>
                    <pic:cNvPicPr>
                      <a:picLocks noChangeAspect="1" noChangeArrowheads="1"/>
                    </pic:cNvPicPr>
                  </pic:nvPicPr>
                  <pic:blipFill>
                    <a:blip r:embed="rId11"/>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2: Relative change in explanatory (left column; panels A and C) and predictive (right column; panels B and D) power of different model structures (as colour-code</w:t>
      </w:r>
      <w:r>
        <w:t>d: purple for benchmark (Bench), yellow for phylogeny (Ph), red for traits &amp; phylogeny (TrPh), and green for whole community (WhC) models). Relative changes (in %) are expressed relative to the benchmark fitted on presence/absence (top row; panels A and B)</w:t>
      </w:r>
      <w:r>
        <w:t xml:space="preserve"> or abundance (bottom row; panels C and D) data. In all panels, points above the zero line (i.e. increase in AUC for panels A-B but decrease in RMSE for panels C-D) indicate performance gain.</w:t>
      </w:r>
    </w:p>
    <w:p w:rsidR="00ED22E3" w:rsidRDefault="00BE0193">
      <w:pPr>
        <w:pStyle w:val="Titre3"/>
      </w:pPr>
      <w:bookmarkStart w:id="17" w:name="community-level"/>
      <w:bookmarkEnd w:id="15"/>
      <w:r>
        <w:t>Community level</w:t>
      </w:r>
    </w:p>
    <w:p w:rsidR="00ED22E3" w:rsidRDefault="00BE0193">
      <w:pPr>
        <w:pStyle w:val="FirstParagraph"/>
      </w:pPr>
      <w:r>
        <w:t xml:space="preserve">On the training set, the median Sørensen dissimilarity index, which ranged from 0.36 to 0.38 across all models (both presence/absence and abundance), suggests that predicted communities are relatively similar to observed communities (Fig. S8 and Fig. S9). </w:t>
      </w:r>
      <w:r>
        <w:t>Errors were equally distributed between turnover and nestedness (Fig. S8 and Fig. S9). However, relative to observed communities in the test data set, abundance models predictions presented a median Sørensen dissimilarity of 0.65 while dissimilarity reache</w:t>
      </w:r>
      <w:r>
        <w:t>d 0.72 for presence/absence models (Fig. S8 and Fig. S9). Greater dissimilarity between predicted and observed communities in the test dataset relative to the training dataset is a direct consequence of models’ limited predictive power at the species level</w:t>
      </w:r>
      <w:r>
        <w:t xml:space="preserve"> (see above and Fig. S8 and Fig. S9). Note that proportion of nestedness errors is greater in the WhC model than in other models, suggesting that this model tends to correctly predict the presence of a subset of the observed species assemblage composition </w:t>
      </w:r>
      <w:r>
        <w:t>(Fig. S8 and Fig. S9).</w:t>
      </w:r>
    </w:p>
    <w:p w:rsidR="00ED22E3" w:rsidRDefault="00BE0193">
      <w:pPr>
        <w:pStyle w:val="Titre2"/>
      </w:pPr>
      <w:bookmarkStart w:id="18" w:name="variance-partitioning"/>
      <w:bookmarkEnd w:id="14"/>
      <w:bookmarkEnd w:id="17"/>
      <w:r>
        <w:lastRenderedPageBreak/>
        <w:t>Variance partitioning</w:t>
      </w:r>
    </w:p>
    <w:p w:rsidR="00ED22E3" w:rsidRDefault="00BE0193">
      <w:pPr>
        <w:pStyle w:val="FirstParagraph"/>
      </w:pPr>
      <w:r>
        <w:t xml:space="preserve">The amount of variance explained by each model can be partitioned between environmental covariates and random effects. For all models, environmental variables account for most (more than 75% ± 18%, mean ± s.d.) </w:t>
      </w:r>
      <w:r>
        <w:t>of the variance (Fig. S7). However, a larger part of variance is explained by random effects in the WhC model compared to the Bench model (Fig. S7). Relative to the Bench model, the median relative change in variance explained by random effects increased b</w:t>
      </w:r>
      <w:r>
        <w:t>y 8.6% for the Ph model, 19.9% for the TrPh model and 35.4% for the WhC model (Fig. </w:t>
      </w:r>
      <w:hyperlink w:anchor="fig:fig3">
        <w:r>
          <w:rPr>
            <w:rStyle w:val="Lienhypertexte"/>
          </w:rPr>
          <w:t>3</w:t>
        </w:r>
      </w:hyperlink>
      <w:r>
        <w:t>). Similar results were obtained for presence/absence models (Fig. </w:t>
      </w:r>
      <w:hyperlink w:anchor="fig:fig3">
        <w:r>
          <w:rPr>
            <w:rStyle w:val="Lienhypertexte"/>
          </w:rPr>
          <w:t>3</w:t>
        </w:r>
      </w:hyperlink>
      <w:r>
        <w:t>).</w:t>
      </w:r>
    </w:p>
    <w:p w:rsidR="00ED22E3" w:rsidRDefault="00BE0193">
      <w:pPr>
        <w:pStyle w:val="Corpsdetexte"/>
      </w:pPr>
      <w:bookmarkStart w:id="19" w:name="fig:fig3"/>
      <w:bookmarkEnd w:id="19"/>
      <w:r>
        <w:rPr>
          <w:noProof/>
        </w:rPr>
        <w:drawing>
          <wp:inline distT="0" distB="0" distL="0" distR="0">
            <wp:extent cx="5334000" cy="4000022"/>
            <wp:effectExtent l="0" t="0" r="0" b="0"/>
            <wp:docPr id="46" name="Picture" descr="Figure 3: Relative change in variance explained by environmental predictors (left column) and by random effects (right column) according to alternative models as colour-coded (purple for Benchmark (Bench), yellow for phylogeny (Ph), red for traits &amp; phylogeny (TrPh), and green for whole community (WhC) models). Percentage change is expressed relative to the benchmark model fitted with presence/absence (top panels) or abundance (bottom panels) data. In all panels, positive (negative) values point to an increase (decrease) in the proportion of variance explained by the focal model relative to the benchmark model."/>
            <wp:cNvGraphicFramePr/>
            <a:graphic xmlns:a="http://schemas.openxmlformats.org/drawingml/2006/main">
              <a:graphicData uri="http://schemas.openxmlformats.org/drawingml/2006/picture">
                <pic:pic xmlns:pic="http://schemas.openxmlformats.org/drawingml/2006/picture">
                  <pic:nvPicPr>
                    <pic:cNvPr id="47" name="Picture" descr="media/rId44.png"/>
                    <pic:cNvPicPr>
                      <a:picLocks noChangeAspect="1" noChangeArrowheads="1"/>
                    </pic:cNvPicPr>
                  </pic:nvPicPr>
                  <pic:blipFill>
                    <a:blip r:embed="rId12"/>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3: Relative change in varianc</w:t>
      </w:r>
      <w:r>
        <w:t>e explained by environmental predictors (left column) and by random effects (right column) according to alternative models as colour-coded (purple for Benchmark (Bench), yellow for phylogeny (Ph), red for traits &amp; phylogeny (TrPh), and green for whole comm</w:t>
      </w:r>
      <w:r>
        <w:t xml:space="preserve">unity (WhC) models). Percentage change is expressed relative to the benchmark model fitted with presence/absence (top panels) or abundance (bottom panels) data. In all panels, positive (negative) values point to an increase (decrease) in the proportion of </w:t>
      </w:r>
      <w:r>
        <w:t>variance explained by the focal model relative to the benchmark model.</w:t>
      </w:r>
    </w:p>
    <w:p w:rsidR="00ED22E3" w:rsidRDefault="00BE0193">
      <w:pPr>
        <w:pStyle w:val="Titre2"/>
      </w:pPr>
      <w:bookmarkStart w:id="20" w:name="species-niche-estimated"/>
      <w:bookmarkEnd w:id="18"/>
      <w:r>
        <w:t>Species niche estimated</w:t>
      </w:r>
    </w:p>
    <w:p w:rsidR="00ED22E3" w:rsidRDefault="00BE0193">
      <w:pPr>
        <w:pStyle w:val="FirstParagraph"/>
      </w:pPr>
      <w:r>
        <w:t>For all abundance models, more than 60% of estimated response curves were flat, suggesting a lack of ecologically meaningful species-environment relationships (F</w:t>
      </w:r>
      <w:r>
        <w:t>ig. </w:t>
      </w:r>
      <w:hyperlink w:anchor="fig:fig4">
        <w:r>
          <w:rPr>
            <w:rStyle w:val="Lienhypertexte"/>
          </w:rPr>
          <w:t>4</w:t>
        </w:r>
      </w:hyperlink>
      <w:r>
        <w:t xml:space="preserve">). This </w:t>
      </w:r>
      <w:r>
        <w:lastRenderedPageBreak/>
        <w:t>proportion even reached more than 80% for the WhC model. Almost no convex or concave responses curves were estimated for abundance models. Meaningful species-environment relationships essentially included constan</w:t>
      </w:r>
      <w:r>
        <w:t>t or accelerated declines, which respectively represented ~10% and ~15% of estimated response curves for the three models that do not include the whole community (i.e. Bench, TrPh and Ph) (Fig. </w:t>
      </w:r>
      <w:hyperlink w:anchor="fig:fig4">
        <w:r>
          <w:rPr>
            <w:rStyle w:val="Lienhypertexte"/>
          </w:rPr>
          <w:t>4</w:t>
        </w:r>
      </w:hyperlink>
      <w:r>
        <w:t>). For the WhC model, these pe</w:t>
      </w:r>
      <w:r>
        <w:t>rcentages dropped to 4.62% and 9.24%, respectively (Fig. </w:t>
      </w:r>
      <w:hyperlink w:anchor="fig:fig4">
        <w:r>
          <w:rPr>
            <w:rStyle w:val="Lienhypertexte"/>
          </w:rPr>
          <w:t>4</w:t>
        </w:r>
      </w:hyperlink>
      <w:r>
        <w:t>). Similar results were obtained for presence/absence models (Fig. S10).</w:t>
      </w:r>
    </w:p>
    <w:p w:rsidR="00ED22E3" w:rsidRDefault="00BE0193">
      <w:pPr>
        <w:pStyle w:val="Corpsdetexte"/>
      </w:pPr>
      <w:bookmarkStart w:id="21" w:name="fig:fig4"/>
      <w:bookmarkEnd w:id="21"/>
      <w:r>
        <w:rPr>
          <w:noProof/>
        </w:rPr>
        <w:drawing>
          <wp:inline distT="0" distB="0" distL="0" distR="0">
            <wp:extent cx="5334000" cy="3999997"/>
            <wp:effectExtent l="0" t="0" r="0" b="0"/>
            <wp:docPr id="51" name="Picture" descr="Figure 4: Number (y-axis) and proportion (indicated above individual bars) of response curves (i.e. one for each species-predictor combination) according to the nomenclature (nine shapes highlighted by the black curve in each panel) defined by Rigal et al. (2020) for different abundance model structures. See Fig. S10 for a similar representation for presence-absence models."/>
            <wp:cNvGraphicFramePr/>
            <a:graphic xmlns:a="http://schemas.openxmlformats.org/drawingml/2006/main">
              <a:graphicData uri="http://schemas.openxmlformats.org/drawingml/2006/picture">
                <pic:pic xmlns:pic="http://schemas.openxmlformats.org/drawingml/2006/picture">
                  <pic:nvPicPr>
                    <pic:cNvPr id="52" name="Picture" descr="media/rId49.png"/>
                    <pic:cNvPicPr>
                      <a:picLocks noChangeAspect="1" noChangeArrowheads="1"/>
                    </pic:cNvPicPr>
                  </pic:nvPicPr>
                  <pic:blipFill>
                    <a:blip r:embed="rId13"/>
                    <a:stretch>
                      <a:fillRect/>
                    </a:stretch>
                  </pic:blipFill>
                  <pic:spPr bwMode="auto">
                    <a:xfrm>
                      <a:off x="0" y="0"/>
                      <a:ext cx="5334000" cy="3999997"/>
                    </a:xfrm>
                    <a:prstGeom prst="rect">
                      <a:avLst/>
                    </a:prstGeom>
                    <a:noFill/>
                    <a:ln w="9525">
                      <a:noFill/>
                      <a:headEnd/>
                      <a:tailEnd/>
                    </a:ln>
                  </pic:spPr>
                </pic:pic>
              </a:graphicData>
            </a:graphic>
          </wp:inline>
        </w:drawing>
      </w:r>
    </w:p>
    <w:p w:rsidR="00ED22E3" w:rsidRDefault="00BE0193">
      <w:pPr>
        <w:pStyle w:val="Corpsdetexte"/>
      </w:pPr>
      <w:r>
        <w:t xml:space="preserve">Figure 4: Number (y-axis) and proportion (indicated above individual bars) of response curves (i.e. one for each species-predictor combination) according to the nomenclature (nine shapes highlighted by the black curve in each panel) defined by Rigal </w:t>
      </w:r>
      <w:r>
        <w:rPr>
          <w:i/>
          <w:iCs/>
        </w:rPr>
        <w:t>et al.</w:t>
      </w:r>
      <w:r>
        <w:t xml:space="preserve"> (</w:t>
      </w:r>
      <w:hyperlink w:anchor="ref-Rigal_2020">
        <w:r>
          <w:rPr>
            <w:rStyle w:val="Lienhypertexte"/>
          </w:rPr>
          <w:t>2020</w:t>
        </w:r>
      </w:hyperlink>
      <w:r>
        <w:t>) for different abundance model structures. See Fig. S10 for a similar representation for presence-absence models.</w:t>
      </w:r>
    </w:p>
    <w:p w:rsidR="00ED22E3" w:rsidRDefault="00BE0193">
      <w:pPr>
        <w:pStyle w:val="Corpsdetexte"/>
      </w:pPr>
      <w:r>
        <w:t xml:space="preserve">Both abundance- and presence/absence TrPh models (which include species functional traits) reveal </w:t>
      </w:r>
      <w:r>
        <w:t xml:space="preserve">some meaningful trait-environment relationships between the first fuzzy-PCA axis and the seven environmental predictors. This suggests that the occurrence of certain traits is likely favoured (or hindered) under certain environmental conditions (Fig. S6). </w:t>
      </w:r>
      <w:r>
        <w:t>For instance, mobile predatory species were more negatively affected by fetch than sessile suspensivores (Fig. S6). Moreover, increase in organic matter concentration and decrease in current velocities were associated with higher abundances of suspensivore</w:t>
      </w:r>
      <w:r>
        <w:t xml:space="preserve"> populations.</w:t>
      </w:r>
    </w:p>
    <w:p w:rsidR="00ED22E3" w:rsidRDefault="00BE0193">
      <w:pPr>
        <w:pStyle w:val="Titre2"/>
      </w:pPr>
      <w:bookmarkStart w:id="22" w:name="exploring-the-residual-correlation"/>
      <w:bookmarkEnd w:id="20"/>
      <w:r>
        <w:lastRenderedPageBreak/>
        <w:t>Exploring the residual correlation</w:t>
      </w:r>
    </w:p>
    <w:p w:rsidR="00ED22E3" w:rsidRDefault="00BE0193">
      <w:pPr>
        <w:pStyle w:val="FirstParagraph"/>
      </w:pPr>
      <w:r>
        <w:t>Since all models included the same random effects, residual correlation matrices are comparable. Here, we compared residual correlations between the Bench model and the WhC model both when fitted to presence</w:t>
      </w:r>
      <w:r>
        <w:t>/absence or abundance data. We specifically considered the WhC model for this specific comparison, because of (1) its higher performances relative to alternative models and (2) the larger proportion of variance explained by random effects in this model rel</w:t>
      </w:r>
      <w:r>
        <w:t>ative to others (Fig. </w:t>
      </w:r>
      <w:hyperlink w:anchor="fig:fig3">
        <w:r>
          <w:rPr>
            <w:rStyle w:val="Lienhypertexte"/>
          </w:rPr>
          <w:t>3</w:t>
        </w:r>
      </w:hyperlink>
      <w:r>
        <w:t>).</w:t>
      </w:r>
    </w:p>
    <w:p w:rsidR="00ED22E3" w:rsidRDefault="00BE0193">
      <w:pPr>
        <w:pStyle w:val="Corpsdetexte"/>
      </w:pPr>
      <w:r>
        <w:t>Residual correlations estimated by the WhC model were similar to those estimated by the Bench model, regardless of whether the models were fitted on presence/absence or abundance data (Fig. </w:t>
      </w:r>
      <w:hyperlink w:anchor="fig:fig5">
        <w:r>
          <w:rPr>
            <w:rStyle w:val="Lienhypertexte"/>
          </w:rPr>
          <w:t>5</w:t>
        </w:r>
      </w:hyperlink>
      <w:r>
        <w:t xml:space="preserve"> and Fig. S11). Yet, agreement between models varied across the different random effects. For instance, when comparing residuals between Bench and WhC fitted on abundance data, correlation was low for random site effects (</w:t>
      </w:r>
      <m:oMath>
        <m:sSup>
          <m:sSupPr>
            <m:ctrlPr>
              <w:rPr>
                <w:rFonts w:ascii="Cambria Math" w:hAnsi="Cambria Math"/>
              </w:rPr>
            </m:ctrlPr>
          </m:sSupPr>
          <m:e>
            <m:r>
              <m:rPr>
                <m:nor/>
              </m:rPr>
              <m:t>R</m:t>
            </m:r>
          </m:e>
          <m:sup>
            <m:r>
              <w:rPr>
                <w:rFonts w:ascii="Cambria Math" w:hAnsi="Cambria Math"/>
              </w:rPr>
              <m:t>2</m:t>
            </m:r>
          </m:sup>
        </m:sSup>
        <m:r>
          <m:rPr>
            <m:sty m:val="p"/>
          </m:rPr>
          <w:rPr>
            <w:rFonts w:ascii="Cambria Math" w:hAnsi="Cambria Math"/>
          </w:rPr>
          <m:t>=</m:t>
        </m:r>
        <m:r>
          <w:rPr>
            <w:rFonts w:ascii="Cambria Math" w:hAnsi="Cambria Math"/>
          </w:rPr>
          <m:t>0.66</m:t>
        </m:r>
      </m:oMath>
      <w:r>
        <w:t>), m</w:t>
      </w:r>
      <w:r>
        <w:t>oderate for random habitat effects (</w:t>
      </w:r>
      <m:oMath>
        <m:sSup>
          <m:sSupPr>
            <m:ctrlPr>
              <w:rPr>
                <w:rFonts w:ascii="Cambria Math" w:hAnsi="Cambria Math"/>
              </w:rPr>
            </m:ctrlPr>
          </m:sSupPr>
          <m:e>
            <m:r>
              <m:rPr>
                <m:nor/>
              </m:rPr>
              <m:t>R</m:t>
            </m:r>
          </m:e>
          <m:sup>
            <m:r>
              <w:rPr>
                <w:rFonts w:ascii="Cambria Math" w:hAnsi="Cambria Math"/>
              </w:rPr>
              <m:t>2</m:t>
            </m:r>
          </m:sup>
        </m:sSup>
        <m:r>
          <m:rPr>
            <m:sty m:val="p"/>
          </m:rPr>
          <w:rPr>
            <w:rFonts w:ascii="Cambria Math" w:hAnsi="Cambria Math"/>
          </w:rPr>
          <m:t>=</m:t>
        </m:r>
        <m:r>
          <w:rPr>
            <w:rFonts w:ascii="Cambria Math" w:hAnsi="Cambria Math"/>
          </w:rPr>
          <m:t>0.8</m:t>
        </m:r>
      </m:oMath>
      <w:r>
        <w:t>) and high for random year effects (</w:t>
      </w:r>
      <m:oMath>
        <m:sSup>
          <m:sSupPr>
            <m:ctrlPr>
              <w:rPr>
                <w:rFonts w:ascii="Cambria Math" w:hAnsi="Cambria Math"/>
              </w:rPr>
            </m:ctrlPr>
          </m:sSupPr>
          <m:e>
            <m:r>
              <m:rPr>
                <m:nor/>
              </m:rPr>
              <m:t>R</m:t>
            </m:r>
          </m:e>
          <m:sup>
            <m:r>
              <w:rPr>
                <w:rFonts w:ascii="Cambria Math" w:hAnsi="Cambria Math"/>
              </w:rPr>
              <m:t>2</m:t>
            </m:r>
          </m:sup>
        </m:sSup>
        <m:r>
          <m:rPr>
            <m:sty m:val="p"/>
          </m:rPr>
          <w:rPr>
            <w:rFonts w:ascii="Cambria Math" w:hAnsi="Cambria Math"/>
          </w:rPr>
          <m:t>=</m:t>
        </m:r>
        <m:r>
          <w:rPr>
            <w:rFonts w:ascii="Cambria Math" w:hAnsi="Cambria Math"/>
          </w:rPr>
          <m:t>0.91</m:t>
        </m:r>
      </m:oMath>
      <w:r>
        <w:t>).</w:t>
      </w:r>
    </w:p>
    <w:p w:rsidR="00ED22E3" w:rsidRDefault="00BE0193">
      <w:pPr>
        <w:pStyle w:val="Corpsdetexte"/>
      </w:pPr>
      <w:bookmarkStart w:id="23" w:name="fig:fig5"/>
      <w:bookmarkEnd w:id="23"/>
      <w:r>
        <w:rPr>
          <w:noProof/>
        </w:rPr>
        <w:drawing>
          <wp:inline distT="0" distB="0" distL="0" distR="0">
            <wp:extent cx="5334000" cy="4000022"/>
            <wp:effectExtent l="0" t="0" r="0" b="0"/>
            <wp:docPr id="56" name="Picture" descr="Figure 5: (A) Comparison of residual correlations associated with the three random effects estimated by the Whole Community Model (y-axis) and the Benchmark model (x-axis) fitted on abundance data. The colour scale highlights the density of points in each scatter plot. (B) Distribution of the index measuring change in sign (sign change left to the zero line, no change to the right) and magnitude (higher departure from the zero line indicate higher difference) between residual correlations estimated by the whole community model and the benchmark model adjusted with abundance data for the three random effects (Habitat, Site, Year)."/>
            <wp:cNvGraphicFramePr/>
            <a:graphic xmlns:a="http://schemas.openxmlformats.org/drawingml/2006/main">
              <a:graphicData uri="http://schemas.openxmlformats.org/drawingml/2006/picture">
                <pic:pic xmlns:pic="http://schemas.openxmlformats.org/drawingml/2006/picture">
                  <pic:nvPicPr>
                    <pic:cNvPr id="57" name="Picture" descr="media/rId54.png"/>
                    <pic:cNvPicPr>
                      <a:picLocks noChangeAspect="1" noChangeArrowheads="1"/>
                    </pic:cNvPicPr>
                  </pic:nvPicPr>
                  <pic:blipFill>
                    <a:blip r:embed="rId14"/>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5: (A) Comparison of residual correlations associated with the three random effects estimated by the Whole Community Model (y-axis) and the Benchmark model (x-</w:t>
      </w:r>
      <w:r>
        <w:t xml:space="preserve">axis) fitted on abundance data. The colour scale highlights the density of points in each scatter plot. (B) Distribution of the index measuring change in sign (sign change left to the zero line, no change to the right) and magnitude (higher departure from </w:t>
      </w:r>
      <w:r>
        <w:t xml:space="preserve">the zero line indicate higher difference) between residual correlations estimated by the whole community model and </w:t>
      </w:r>
      <w:r>
        <w:lastRenderedPageBreak/>
        <w:t>the benchmark model adjusted with abundance data for the three random effects (Habitat, Site, Year).</w:t>
      </w:r>
    </w:p>
    <w:p w:rsidR="00ED22E3" w:rsidRDefault="00BE0193">
      <w:pPr>
        <w:pStyle w:val="Corpsdetexte"/>
      </w:pPr>
      <w:r>
        <w:t>The dedicated comparison index helps qua</w:t>
      </w:r>
      <w:r>
        <w:t>lify how pairwise species-species residual correlations change in sign and magnitude between the Bench and the WhC models. For abundance- or presence/absence models (Fig. </w:t>
      </w:r>
      <w:hyperlink w:anchor="fig:fig5">
        <w:r>
          <w:rPr>
            <w:rStyle w:val="Lienhypertexte"/>
          </w:rPr>
          <w:t>5</w:t>
        </w:r>
      </w:hyperlink>
      <w:r>
        <w:t xml:space="preserve"> and Fig. S11), the index main modal distribution, wh</w:t>
      </w:r>
      <w:r>
        <w:t>ich is centred on zero, suggests an overall agreement between residual correlations obtained from both models (Fig. </w:t>
      </w:r>
      <w:hyperlink w:anchor="fig:fig5">
        <w:r>
          <w:rPr>
            <w:rStyle w:val="Lienhypertexte"/>
          </w:rPr>
          <w:t>5</w:t>
        </w:r>
      </w:hyperlink>
      <w:r>
        <w:t xml:space="preserve"> and Fig. S11). While the right part of the distribution highlights variation in the estimated magnitude of </w:t>
      </w:r>
      <w:r>
        <w:t>effect, on the left-hand part of the distribution (negative values) indicates a sign inconsistency in residual correlations between the two models. For abundance models, the Habitat, Site and Year random effects are respectively associated with 13.3%, 17.7</w:t>
      </w:r>
      <w:r>
        <w:t>% and 6% of sign inconsistencies in residual correlations between the Bench model and the WhC model. Similar results were obtained for presence/absence models.</w:t>
      </w:r>
    </w:p>
    <w:p w:rsidR="00ED22E3" w:rsidRDefault="00BE0193">
      <w:pPr>
        <w:pStyle w:val="Titre1"/>
      </w:pPr>
      <w:bookmarkStart w:id="24" w:name="discussion"/>
      <w:bookmarkEnd w:id="13"/>
      <w:bookmarkEnd w:id="22"/>
      <w:r>
        <w:t>Discussion</w:t>
      </w:r>
    </w:p>
    <w:p w:rsidR="00ED22E3" w:rsidRDefault="00BE0193">
      <w:pPr>
        <w:pStyle w:val="FirstParagraph"/>
      </w:pPr>
      <w:r>
        <w:t>Case studies in community ecology typically rely on partial and heterogeneous observa</w:t>
      </w:r>
      <w:r>
        <w:t>tions (</w:t>
      </w:r>
      <w:hyperlink w:anchor="ref-Pollock_2020">
        <w:r>
          <w:rPr>
            <w:rStyle w:val="Lienhypertexte"/>
          </w:rPr>
          <w:t xml:space="preserve">Pollock </w:t>
        </w:r>
        <w:r>
          <w:rPr>
            <w:rStyle w:val="Lienhypertexte"/>
            <w:i/>
            <w:iCs/>
          </w:rPr>
          <w:t>et al.</w:t>
        </w:r>
        <w:r>
          <w:rPr>
            <w:rStyle w:val="Lienhypertexte"/>
          </w:rPr>
          <w:t xml:space="preserve"> 2020</w:t>
        </w:r>
      </w:hyperlink>
      <w:r>
        <w:t xml:space="preserve">) but also on incomplete knowledge of target species ecological features (e.g. traits, phylogeny; Troudet </w:t>
      </w:r>
      <w:r>
        <w:rPr>
          <w:i/>
          <w:iCs/>
        </w:rPr>
        <w:t>et al.</w:t>
      </w:r>
      <w:r>
        <w:t xml:space="preserve"> (</w:t>
      </w:r>
      <w:hyperlink w:anchor="ref-Troudet_2017">
        <w:r>
          <w:rPr>
            <w:rStyle w:val="Lienhypertexte"/>
          </w:rPr>
          <w:t>2017</w:t>
        </w:r>
      </w:hyperlink>
      <w:r>
        <w:t>)). In this paper we investigated how jSDM performance varies depending on the type of information included (i.e. phylogeny, traits or data on non-target species). While jSDMs have two main goals, i.e. explaining and predicting species distribution and com</w:t>
      </w:r>
      <w:r>
        <w:t>munity composition across space and/or time (</w:t>
      </w:r>
      <w:hyperlink w:anchor="ref-Tredennick_2021">
        <w:r>
          <w:rPr>
            <w:rStyle w:val="Lienhypertexte"/>
          </w:rPr>
          <w:t xml:space="preserve">Tredennick </w:t>
        </w:r>
        <w:r>
          <w:rPr>
            <w:rStyle w:val="Lienhypertexte"/>
            <w:i/>
            <w:iCs/>
          </w:rPr>
          <w:t>et al.</w:t>
        </w:r>
        <w:r>
          <w:rPr>
            <w:rStyle w:val="Lienhypertexte"/>
          </w:rPr>
          <w:t xml:space="preserve"> 2021</w:t>
        </w:r>
      </w:hyperlink>
      <w:r>
        <w:t>), they have mostly been tested with regards to their predictive power (</w:t>
      </w:r>
      <w:hyperlink w:anchor="ref-Norberg_2019">
        <w:r>
          <w:rPr>
            <w:rStyle w:val="Lienhypertexte"/>
          </w:rPr>
          <w:t xml:space="preserve">Norberg </w:t>
        </w:r>
        <w:r>
          <w:rPr>
            <w:rStyle w:val="Lienhypertexte"/>
            <w:i/>
            <w:iCs/>
          </w:rPr>
          <w:t>et al.</w:t>
        </w:r>
        <w:r>
          <w:rPr>
            <w:rStyle w:val="Lienhypertexte"/>
          </w:rPr>
          <w:t xml:space="preserve"> 2019</w:t>
        </w:r>
      </w:hyperlink>
      <w:r>
        <w:t>), and to some ex</w:t>
      </w:r>
      <w:r>
        <w:t>tent in terms of parameter estimates (</w:t>
      </w:r>
      <w:hyperlink w:anchor="ref-Wilkinson_2020">
        <w:r>
          <w:rPr>
            <w:rStyle w:val="Lienhypertexte"/>
          </w:rPr>
          <w:t xml:space="preserve">Wilkinson </w:t>
        </w:r>
        <w:r>
          <w:rPr>
            <w:rStyle w:val="Lienhypertexte"/>
            <w:i/>
            <w:iCs/>
          </w:rPr>
          <w:t>et al.</w:t>
        </w:r>
        <w:r>
          <w:rPr>
            <w:rStyle w:val="Lienhypertexte"/>
          </w:rPr>
          <w:t xml:space="preserve"> 2020</w:t>
        </w:r>
      </w:hyperlink>
      <w:r>
        <w:t>), but manly when fitted on presence/absence data (</w:t>
      </w:r>
      <w:hyperlink w:anchor="ref-Norberg_2019">
        <w:r>
          <w:rPr>
            <w:rStyle w:val="Lienhypertexte"/>
          </w:rPr>
          <w:t xml:space="preserve">Norberg </w:t>
        </w:r>
        <w:r>
          <w:rPr>
            <w:rStyle w:val="Lienhypertexte"/>
            <w:i/>
            <w:iCs/>
          </w:rPr>
          <w:t>et al.</w:t>
        </w:r>
        <w:r>
          <w:rPr>
            <w:rStyle w:val="Lienhypertexte"/>
          </w:rPr>
          <w:t xml:space="preserve"> 2019</w:t>
        </w:r>
      </w:hyperlink>
      <w:r>
        <w:t xml:space="preserve"> ; </w:t>
      </w:r>
      <w:hyperlink w:anchor="ref-Wilkinson_2020">
        <w:r>
          <w:rPr>
            <w:rStyle w:val="Lienhypertexte"/>
          </w:rPr>
          <w:t>Wil</w:t>
        </w:r>
        <w:r>
          <w:rPr>
            <w:rStyle w:val="Lienhypertexte"/>
          </w:rPr>
          <w:t xml:space="preserve">kinson </w:t>
        </w:r>
        <w:r>
          <w:rPr>
            <w:rStyle w:val="Lienhypertexte"/>
            <w:i/>
            <w:iCs/>
          </w:rPr>
          <w:t>et al.</w:t>
        </w:r>
        <w:r>
          <w:rPr>
            <w:rStyle w:val="Lienhypertexte"/>
          </w:rPr>
          <w:t xml:space="preserve"> 2020</w:t>
        </w:r>
      </w:hyperlink>
      <w:r>
        <w:t>). Yet, jSDMs are increasingly fitted on abundance data (</w:t>
      </w:r>
      <w:hyperlink w:anchor="ref-Brimacombe_2020">
        <w:r>
          <w:rPr>
            <w:rStyle w:val="Lienhypertexte"/>
          </w:rPr>
          <w:t xml:space="preserve">Brimacombe </w:t>
        </w:r>
        <w:r>
          <w:rPr>
            <w:rStyle w:val="Lienhypertexte"/>
            <w:i/>
            <w:iCs/>
          </w:rPr>
          <w:t>et al.</w:t>
        </w:r>
        <w:r>
          <w:rPr>
            <w:rStyle w:val="Lienhypertexte"/>
          </w:rPr>
          <w:t xml:space="preserve"> 2020</w:t>
        </w:r>
      </w:hyperlink>
      <w:r>
        <w:t>) and for explanatory purposes (</w:t>
      </w:r>
      <w:hyperlink w:anchor="ref-Abrego_2016">
        <w:r>
          <w:rPr>
            <w:rStyle w:val="Lienhypertexte"/>
          </w:rPr>
          <w:t xml:space="preserve">Abrego </w:t>
        </w:r>
        <w:r>
          <w:rPr>
            <w:rStyle w:val="Lienhypertexte"/>
            <w:i/>
            <w:iCs/>
          </w:rPr>
          <w:t>et al.</w:t>
        </w:r>
        <w:r>
          <w:rPr>
            <w:rStyle w:val="Lienhypertexte"/>
          </w:rPr>
          <w:t xml:space="preserve"> 2017</w:t>
        </w:r>
      </w:hyperlink>
      <w:r>
        <w:t xml:space="preserve"> ; </w:t>
      </w:r>
      <w:hyperlink w:anchor="ref-Hakkila_2018">
        <w:r>
          <w:rPr>
            <w:rStyle w:val="Lienhypertexte"/>
          </w:rPr>
          <w:t xml:space="preserve">Häkkilä </w:t>
        </w:r>
        <w:r>
          <w:rPr>
            <w:rStyle w:val="Lienhypertexte"/>
            <w:i/>
            <w:iCs/>
          </w:rPr>
          <w:t>et al.</w:t>
        </w:r>
        <w:r>
          <w:rPr>
            <w:rStyle w:val="Lienhypertexte"/>
          </w:rPr>
          <w:t xml:space="preserve"> 2018</w:t>
        </w:r>
      </w:hyperlink>
      <w:r>
        <w:t>). Hence, there is a mismatch between current understanding of jSDMs performance and their application by ecologists. Here, we consolidate the assessment of jSDMs performance using complementary metrics and evaluation method</w:t>
      </w:r>
      <w:r>
        <w:t>s. We characterise how different aspects of model performances vary with changes in model structure related to the type of information considered, which can affect interpretability and conclusions drawn from these models.</w:t>
      </w:r>
    </w:p>
    <w:p w:rsidR="00ED22E3" w:rsidRDefault="00BE0193">
      <w:pPr>
        <w:pStyle w:val="Corpsdetexte"/>
      </w:pPr>
      <w:r>
        <w:t xml:space="preserve">We found that jSDM’s performance, </w:t>
      </w:r>
      <w:r>
        <w:t>in particular predictive power of abundance models, most increased when including information related to the 179 non-target species sampled alongside with the 99 polychaete species of interest. Given HMSC hierarchical structure (</w:t>
      </w:r>
      <w:hyperlink w:anchor="ref-Poggiato_2021">
        <w:r>
          <w:rPr>
            <w:rStyle w:val="Lienhypertexte"/>
          </w:rPr>
          <w:t xml:space="preserve">Poggiato </w:t>
        </w:r>
        <w:r>
          <w:rPr>
            <w:rStyle w:val="Lienhypertexte"/>
            <w:i/>
            <w:iCs/>
          </w:rPr>
          <w:t>et al.</w:t>
        </w:r>
        <w:r>
          <w:rPr>
            <w:rStyle w:val="Lienhypertexte"/>
          </w:rPr>
          <w:t xml:space="preserve"> 2021</w:t>
        </w:r>
      </w:hyperlink>
      <w:r>
        <w:t>), inclusion of monitoring data related to other species likely improves model performance for the target assemblage by capturing relevant drivers that are not explicitly considered. For instance, inclusion of monitoring da</w:t>
      </w:r>
      <w:r>
        <w:t>ta for other species can help describe target species’ realised niche by accounting for ecological processes related to environmental conditions (including trait-mediated responses) or biotic interactions that are not explicitly captured otherwise (</w:t>
      </w:r>
      <w:hyperlink w:anchor="ref-Ovaskainen_2017a">
        <w:r>
          <w:rPr>
            <w:rStyle w:val="Lienhypertexte"/>
          </w:rPr>
          <w:t xml:space="preserve">Ovaskainen </w:t>
        </w:r>
        <w:r>
          <w:rPr>
            <w:rStyle w:val="Lienhypertexte"/>
            <w:i/>
            <w:iCs/>
          </w:rPr>
          <w:t>et al.</w:t>
        </w:r>
        <w:r>
          <w:rPr>
            <w:rStyle w:val="Lienhypertexte"/>
          </w:rPr>
          <w:t xml:space="preserve"> 2017b</w:t>
        </w:r>
      </w:hyperlink>
      <w:r>
        <w:t>). In jSDMs, unquantified ecological processes can be estimated using latent variables from model residual correlation matrix. While this feature of jSDMs originally yielded the potential to captur</w:t>
      </w:r>
      <w:r>
        <w:t xml:space="preserve">e biotic interactions, it is now well-established that potential biotic signals captured by jSDMs </w:t>
      </w:r>
      <w:r>
        <w:lastRenderedPageBreak/>
        <w:t>are largely confounded by other factors. These include missing environmental variables (</w:t>
      </w:r>
      <w:hyperlink w:anchor="ref-Dormann_2018">
        <w:r>
          <w:rPr>
            <w:rStyle w:val="Lienhypertexte"/>
          </w:rPr>
          <w:t xml:space="preserve">Dormann </w:t>
        </w:r>
        <w:r>
          <w:rPr>
            <w:rStyle w:val="Lienhypertexte"/>
            <w:i/>
            <w:iCs/>
          </w:rPr>
          <w:t>et al.</w:t>
        </w:r>
        <w:r>
          <w:rPr>
            <w:rStyle w:val="Lienhypertexte"/>
          </w:rPr>
          <w:t xml:space="preserve"> 2018</w:t>
        </w:r>
      </w:hyperlink>
      <w:r>
        <w:t xml:space="preserve"> ; </w:t>
      </w:r>
      <w:hyperlink w:anchor="ref-Zurell_2018">
        <w:r>
          <w:rPr>
            <w:rStyle w:val="Lienhypertexte"/>
          </w:rPr>
          <w:t xml:space="preserve">Zurell </w:t>
        </w:r>
        <w:r>
          <w:rPr>
            <w:rStyle w:val="Lienhypertexte"/>
            <w:i/>
            <w:iCs/>
          </w:rPr>
          <w:t>et al.</w:t>
        </w:r>
        <w:r>
          <w:rPr>
            <w:rStyle w:val="Lienhypertexte"/>
          </w:rPr>
          <w:t xml:space="preserve"> 2018</w:t>
        </w:r>
      </w:hyperlink>
      <w:r>
        <w:t xml:space="preserve"> ; </w:t>
      </w:r>
      <w:hyperlink w:anchor="ref-Blanchet_2020">
        <w:r>
          <w:rPr>
            <w:rStyle w:val="Lienhypertexte"/>
          </w:rPr>
          <w:t xml:space="preserve">Blanchet </w:t>
        </w:r>
        <w:r>
          <w:rPr>
            <w:rStyle w:val="Lienhypertexte"/>
            <w:i/>
            <w:iCs/>
          </w:rPr>
          <w:t>et al.</w:t>
        </w:r>
        <w:r>
          <w:rPr>
            <w:rStyle w:val="Lienhypertexte"/>
          </w:rPr>
          <w:t xml:space="preserve"> 2020</w:t>
        </w:r>
      </w:hyperlink>
      <w:r>
        <w:t>), scale mismatch between study organism responses and available environmental variables (</w:t>
      </w:r>
      <w:hyperlink w:anchor="ref-Potter_2013">
        <w:r>
          <w:rPr>
            <w:rStyle w:val="Lienhypertexte"/>
          </w:rPr>
          <w:t xml:space="preserve">Potter </w:t>
        </w:r>
        <w:r>
          <w:rPr>
            <w:rStyle w:val="Lienhypertexte"/>
            <w:i/>
            <w:iCs/>
          </w:rPr>
          <w:t>et al.</w:t>
        </w:r>
        <w:r>
          <w:rPr>
            <w:rStyle w:val="Lienhypertexte"/>
          </w:rPr>
          <w:t xml:space="preserve"> 2013</w:t>
        </w:r>
      </w:hyperlink>
      <w:r>
        <w:t>), coarse spatial resolution of environmental variables (</w:t>
      </w:r>
      <w:hyperlink w:anchor="ref-Zurell_2018">
        <w:r>
          <w:rPr>
            <w:rStyle w:val="Lienhypertexte"/>
          </w:rPr>
          <w:t xml:space="preserve">Zurell </w:t>
        </w:r>
        <w:r>
          <w:rPr>
            <w:rStyle w:val="Lienhypertexte"/>
            <w:i/>
            <w:iCs/>
          </w:rPr>
          <w:t>et al.</w:t>
        </w:r>
        <w:r>
          <w:rPr>
            <w:rStyle w:val="Lienhypertexte"/>
          </w:rPr>
          <w:t xml:space="preserve"> 2018</w:t>
        </w:r>
      </w:hyperlink>
      <w:r>
        <w:t xml:space="preserve"> ; </w:t>
      </w:r>
      <w:hyperlink w:anchor="ref-Konig_2021">
        <w:r>
          <w:rPr>
            <w:rStyle w:val="Lienhypertexte"/>
          </w:rPr>
          <w:t xml:space="preserve">König </w:t>
        </w:r>
        <w:r>
          <w:rPr>
            <w:rStyle w:val="Lienhypertexte"/>
            <w:i/>
            <w:iCs/>
          </w:rPr>
          <w:t>et al.</w:t>
        </w:r>
        <w:r>
          <w:rPr>
            <w:rStyle w:val="Lienhypertexte"/>
          </w:rPr>
          <w:t xml:space="preserve"> 2021</w:t>
        </w:r>
      </w:hyperlink>
      <w:r>
        <w:t>).</w:t>
      </w:r>
    </w:p>
    <w:p w:rsidR="00ED22E3" w:rsidRDefault="00BE0193">
      <w:pPr>
        <w:pStyle w:val="Corpsdetexte"/>
      </w:pPr>
      <w:r>
        <w:t xml:space="preserve">Importantly, while including non-target species improved predictive performance in </w:t>
      </w:r>
      <w:r>
        <w:t>our case study, benefits of accounting for non-target species might vary depending on robustness of non-target species monitoring data (e.g. detection issues), their role within the ecosystem (e.g. engineer species are likely more influential on local comm</w:t>
      </w:r>
      <w:r>
        <w:t>unities than rare transient species), or processes shaping the target assemblage (if influence of abiotic factors dominates, then adding other species will have marginal consequences on model performance). Furthermore, a specific investigation would be req</w:t>
      </w:r>
      <w:r>
        <w:t>uired to determine the optimal number of non-target species to include : for instance using simulated datasets to overcome limitations related to real world datasets (</w:t>
      </w:r>
      <w:hyperlink w:anchor="ref-DiRenzo_2022">
        <w:r>
          <w:rPr>
            <w:rStyle w:val="Lienhypertexte"/>
          </w:rPr>
          <w:t xml:space="preserve">DiRenzo </w:t>
        </w:r>
        <w:r>
          <w:rPr>
            <w:rStyle w:val="Lienhypertexte"/>
            <w:i/>
            <w:iCs/>
          </w:rPr>
          <w:t>et al.</w:t>
        </w:r>
        <w:r>
          <w:rPr>
            <w:rStyle w:val="Lienhypertexte"/>
          </w:rPr>
          <w:t xml:space="preserve"> 2022</w:t>
        </w:r>
      </w:hyperlink>
      <w:r>
        <w:t>). While species communities an</w:t>
      </w:r>
      <w:r>
        <w:t>d assemblages are largely defined arbitrarily (</w:t>
      </w:r>
      <w:hyperlink w:anchor="ref-Stroud_2015">
        <w:r>
          <w:rPr>
            <w:rStyle w:val="Lienhypertexte"/>
          </w:rPr>
          <w:t xml:space="preserve">Stroud </w:t>
        </w:r>
        <w:r>
          <w:rPr>
            <w:rStyle w:val="Lienhypertexte"/>
            <w:i/>
            <w:iCs/>
          </w:rPr>
          <w:t>et al.</w:t>
        </w:r>
        <w:r>
          <w:rPr>
            <w:rStyle w:val="Lienhypertexte"/>
          </w:rPr>
          <w:t xml:space="preserve"> 2015</w:t>
        </w:r>
      </w:hyperlink>
      <w:r>
        <w:t>), A systematic assessment of jSDM performance as increasing number of non-target species, across different functional or trophic roles would be valuable</w:t>
      </w:r>
      <w:r>
        <w:t xml:space="preserve"> to delineate which ecological units to include (or not) to improve model performance for the species of management/conservation interests.</w:t>
      </w:r>
    </w:p>
    <w:p w:rsidR="00ED22E3" w:rsidRDefault="00BE0193">
      <w:pPr>
        <w:pStyle w:val="Corpsdetexte"/>
      </w:pPr>
      <w:r>
        <w:t>In practice, ecological studies often focus on a certain guild or taxonomic group (e.g. fish, birds) given data coll</w:t>
      </w:r>
      <w:r>
        <w:t xml:space="preserve">ection (consistent sampling methodology) or availability constraints (traits and/or phylogeny biased toward some taxonomic groups, Tyler </w:t>
      </w:r>
      <w:r>
        <w:rPr>
          <w:i/>
          <w:iCs/>
        </w:rPr>
        <w:t>et al.</w:t>
      </w:r>
      <w:r>
        <w:t xml:space="preserve"> (</w:t>
      </w:r>
      <w:hyperlink w:anchor="ref-Tyler_2012">
        <w:r>
          <w:rPr>
            <w:rStyle w:val="Lienhypertexte"/>
          </w:rPr>
          <w:t>2012</w:t>
        </w:r>
      </w:hyperlink>
      <w:r>
        <w:t>) and usually centralised in taxonomic-centred repositories [e.g. Fish</w:t>
      </w:r>
      <w:r>
        <w:t>Base; Froese &amp; Pauly (</w:t>
      </w:r>
      <w:hyperlink w:anchor="ref-Froese_2022">
        <w:r>
          <w:rPr>
            <w:rStyle w:val="Lienhypertexte"/>
          </w:rPr>
          <w:t>2022</w:t>
        </w:r>
      </w:hyperlink>
      <w:r>
        <w:t>)]), rather than for ecological reasons (e.g. all potential interactions well captured by the data at hand). In this study, dedicated focus on polychaetes was primarily guided by data availabi</w:t>
      </w:r>
      <w:r>
        <w:t xml:space="preserve">lity (species-traits matrices available from Boyé </w:t>
      </w:r>
      <w:r>
        <w:rPr>
          <w:i/>
          <w:iCs/>
        </w:rPr>
        <w:t>et al.</w:t>
      </w:r>
      <w:r>
        <w:t xml:space="preserve"> (</w:t>
      </w:r>
      <w:hyperlink w:anchor="ref-Boye_2019a">
        <w:r>
          <w:rPr>
            <w:rStyle w:val="Lienhypertexte"/>
          </w:rPr>
          <w:t>2019</w:t>
        </w:r>
      </w:hyperlink>
      <w:r>
        <w:t>) only included polychaetes) rather than for ecological reasons, although the fact that this taxonomic group is numerically dominant and highly diverse in te</w:t>
      </w:r>
      <w:r>
        <w:t>rms of lifestyles and functional roles (</w:t>
      </w:r>
      <w:hyperlink w:anchor="ref-Jumars_2015">
        <w:r>
          <w:rPr>
            <w:rStyle w:val="Lienhypertexte"/>
          </w:rPr>
          <w:t xml:space="preserve">Jumars </w:t>
        </w:r>
        <w:r>
          <w:rPr>
            <w:rStyle w:val="Lienhypertexte"/>
            <w:i/>
            <w:iCs/>
          </w:rPr>
          <w:t>et al.</w:t>
        </w:r>
        <w:r>
          <w:rPr>
            <w:rStyle w:val="Lienhypertexte"/>
          </w:rPr>
          <w:t xml:space="preserve"> 2015</w:t>
        </w:r>
      </w:hyperlink>
      <w:r>
        <w:t xml:space="preserve"> ; </w:t>
      </w:r>
      <w:hyperlink w:anchor="ref-Giangrande_1997">
        <w:r>
          <w:rPr>
            <w:rStyle w:val="Lienhypertexte"/>
          </w:rPr>
          <w:t>Giangrande 1997</w:t>
        </w:r>
      </w:hyperlink>
      <w:r>
        <w:t>) was the reason that originally motivated trait-data collection.</w:t>
      </w:r>
    </w:p>
    <w:p w:rsidR="00ED22E3" w:rsidRDefault="00BE0193">
      <w:pPr>
        <w:pStyle w:val="Corpsdetexte"/>
      </w:pPr>
      <w:r>
        <w:t>jSDMs have already been used to mo</w:t>
      </w:r>
      <w:r>
        <w:t>del the distribution of a wide variety of species ranging from micro-organisms (</w:t>
      </w:r>
      <w:hyperlink w:anchor="ref-Minard_2019">
        <w:r>
          <w:rPr>
            <w:rStyle w:val="Lienhypertexte"/>
          </w:rPr>
          <w:t xml:space="preserve">Minard </w:t>
        </w:r>
        <w:r>
          <w:rPr>
            <w:rStyle w:val="Lienhypertexte"/>
            <w:i/>
            <w:iCs/>
          </w:rPr>
          <w:t>et al.</w:t>
        </w:r>
        <w:r>
          <w:rPr>
            <w:rStyle w:val="Lienhypertexte"/>
          </w:rPr>
          <w:t xml:space="preserve"> 2019</w:t>
        </w:r>
      </w:hyperlink>
      <w:r>
        <w:t xml:space="preserve"> ; </w:t>
      </w:r>
      <w:hyperlink w:anchor="ref-Pichler_2021">
        <w:r>
          <w:rPr>
            <w:rStyle w:val="Lienhypertexte"/>
          </w:rPr>
          <w:t>Pichler &amp; Hartig 2021</w:t>
        </w:r>
      </w:hyperlink>
      <w:r>
        <w:t>) to megafauna (</w:t>
      </w:r>
      <w:hyperlink w:anchor="ref-Rocha_2017">
        <w:r>
          <w:rPr>
            <w:rStyle w:val="Lienhypertexte"/>
          </w:rPr>
          <w:t>Roch</w:t>
        </w:r>
        <w:r>
          <w:rPr>
            <w:rStyle w:val="Lienhypertexte"/>
          </w:rPr>
          <w:t xml:space="preserve">a </w:t>
        </w:r>
        <w:r>
          <w:rPr>
            <w:rStyle w:val="Lienhypertexte"/>
            <w:i/>
            <w:iCs/>
          </w:rPr>
          <w:t>et al.</w:t>
        </w:r>
        <w:r>
          <w:rPr>
            <w:rStyle w:val="Lienhypertexte"/>
          </w:rPr>
          <w:t xml:space="preserve"> 2017</w:t>
        </w:r>
      </w:hyperlink>
      <w:r>
        <w:t xml:space="preserve"> ; </w:t>
      </w:r>
      <w:hyperlink w:anchor="ref-Brimacombe_2020">
        <w:r>
          <w:rPr>
            <w:rStyle w:val="Lienhypertexte"/>
          </w:rPr>
          <w:t xml:space="preserve">Brimacombe </w:t>
        </w:r>
        <w:r>
          <w:rPr>
            <w:rStyle w:val="Lienhypertexte"/>
            <w:i/>
            <w:iCs/>
          </w:rPr>
          <w:t>et al.</w:t>
        </w:r>
        <w:r>
          <w:rPr>
            <w:rStyle w:val="Lienhypertexte"/>
          </w:rPr>
          <w:t xml:space="preserve"> 2020</w:t>
        </w:r>
      </w:hyperlink>
      <w:r>
        <w:t>) inhabiting many different ecosystems. Here, while we studied communities associated with two specific coastal habitats, i.e. seagrass and sand, that have original characteristics as they are located at the land-sea interface (</w:t>
      </w:r>
      <w:hyperlink w:anchor="ref-Boye_2019a">
        <w:r>
          <w:rPr>
            <w:rStyle w:val="Lienhypertexte"/>
          </w:rPr>
          <w:t xml:space="preserve">Boyé </w:t>
        </w:r>
        <w:r>
          <w:rPr>
            <w:rStyle w:val="Lienhypertexte"/>
            <w:i/>
            <w:iCs/>
          </w:rPr>
          <w:t>et al.</w:t>
        </w:r>
        <w:r>
          <w:rPr>
            <w:rStyle w:val="Lienhypertexte"/>
          </w:rPr>
          <w:t xml:space="preserve"> 2019</w:t>
        </w:r>
      </w:hyperlink>
      <w:r>
        <w:t xml:space="preserve">), our case study reflects typical aspects of applied ecological research. These include issues related to data limitation and availability but also typical features of ecological communities (e.g. prevalence of rare and transient </w:t>
      </w:r>
      <w:r>
        <w:t>species; Magurran &amp; Henderson (</w:t>
      </w:r>
      <w:hyperlink w:anchor="ref-Magurran_2003">
        <w:r>
          <w:rPr>
            <w:rStyle w:val="Lienhypertexte"/>
          </w:rPr>
          <w:t>2003</w:t>
        </w:r>
      </w:hyperlink>
      <w:r>
        <w:t xml:space="preserve">) ; Snell Taylor </w:t>
      </w:r>
      <w:r>
        <w:rPr>
          <w:i/>
          <w:iCs/>
        </w:rPr>
        <w:t>et al.</w:t>
      </w:r>
      <w:r>
        <w:t xml:space="preserve"> (</w:t>
      </w:r>
      <w:hyperlink w:anchor="ref-SnellTaylor_2018">
        <w:r>
          <w:rPr>
            <w:rStyle w:val="Lienhypertexte"/>
          </w:rPr>
          <w:t>2018</w:t>
        </w:r>
      </w:hyperlink>
      <w:r>
        <w:t>)). Our results provide some insights on trait-environment relationships but these contributions of functiona</w:t>
      </w:r>
      <w:r>
        <w:t>l ecology in jSDMs are likely limited by trait data quality and availability (</w:t>
      </w:r>
      <w:hyperlink w:anchor="ref-Tyler_2012">
        <w:r>
          <w:rPr>
            <w:rStyle w:val="Lienhypertexte"/>
          </w:rPr>
          <w:t xml:space="preserve">Tyler </w:t>
        </w:r>
        <w:r>
          <w:rPr>
            <w:rStyle w:val="Lienhypertexte"/>
            <w:i/>
            <w:iCs/>
          </w:rPr>
          <w:t>et al.</w:t>
        </w:r>
        <w:r>
          <w:rPr>
            <w:rStyle w:val="Lienhypertexte"/>
          </w:rPr>
          <w:t xml:space="preserve"> 2012</w:t>
        </w:r>
      </w:hyperlink>
      <w:r>
        <w:t xml:space="preserve"> ; </w:t>
      </w:r>
      <w:hyperlink w:anchor="ref-deJuan_2022">
        <w:r>
          <w:rPr>
            <w:rStyle w:val="Lienhypertexte"/>
          </w:rPr>
          <w:t xml:space="preserve">Juan </w:t>
        </w:r>
        <w:r>
          <w:rPr>
            <w:rStyle w:val="Lienhypertexte"/>
            <w:i/>
            <w:iCs/>
          </w:rPr>
          <w:t>et al.</w:t>
        </w:r>
        <w:r>
          <w:rPr>
            <w:rStyle w:val="Lienhypertexte"/>
          </w:rPr>
          <w:t xml:space="preserve"> 2022</w:t>
        </w:r>
      </w:hyperlink>
      <w:r>
        <w:t>). For instance, we found an interaction between trophic modalities</w:t>
      </w:r>
      <w:r>
        <w:t xml:space="preserve"> (i.e. microphagous versus macrophagous diet) and fetch (Fig. S15), indicating that organisms that filter on small particles are less likely to occur in wave-exposed sites where high levels of sediment resuspension can block their filtering systems (</w:t>
      </w:r>
      <w:hyperlink w:anchor="ref-Manning_2014">
        <w:r>
          <w:rPr>
            <w:rStyle w:val="Lienhypertexte"/>
          </w:rPr>
          <w:t xml:space="preserve">Manning </w:t>
        </w:r>
        <w:r>
          <w:rPr>
            <w:rStyle w:val="Lienhypertexte"/>
            <w:i/>
            <w:iCs/>
          </w:rPr>
          <w:t>et al.</w:t>
        </w:r>
        <w:r>
          <w:rPr>
            <w:rStyle w:val="Lienhypertexte"/>
          </w:rPr>
          <w:t xml:space="preserve"> 2014</w:t>
        </w:r>
      </w:hyperlink>
      <w:r>
        <w:t xml:space="preserve">). Conversely macrophagous organisms are less </w:t>
      </w:r>
      <w:r>
        <w:lastRenderedPageBreak/>
        <w:t xml:space="preserve">impacted by fetch. Yet, most trait-environment relationships, and most species-environment relationships were flat suggesting that polychaete assemblages are </w:t>
      </w:r>
      <w:r>
        <w:t>driven by processes other than abiotic ones, including neutral processes (</w:t>
      </w:r>
      <w:hyperlink w:anchor="ref-Boye_2019a">
        <w:r>
          <w:rPr>
            <w:rStyle w:val="Lienhypertexte"/>
          </w:rPr>
          <w:t xml:space="preserve">Boyé </w:t>
        </w:r>
        <w:r>
          <w:rPr>
            <w:rStyle w:val="Lienhypertexte"/>
            <w:i/>
            <w:iCs/>
          </w:rPr>
          <w:t>et al.</w:t>
        </w:r>
        <w:r>
          <w:rPr>
            <w:rStyle w:val="Lienhypertexte"/>
          </w:rPr>
          <w:t xml:space="preserve"> 2019</w:t>
        </w:r>
      </w:hyperlink>
      <w:r>
        <w:t>). However, the lack of contribution of other trait-environment relationships in our model could also be related to a mismatch be</w:t>
      </w:r>
      <w:r>
        <w:t>tween trait data, environmental data, and the ecological processes at play (</w:t>
      </w:r>
      <w:hyperlink w:anchor="ref-deJuan_2022">
        <w:r>
          <w:rPr>
            <w:rStyle w:val="Lienhypertexte"/>
          </w:rPr>
          <w:t xml:space="preserve">Juan </w:t>
        </w:r>
        <w:r>
          <w:rPr>
            <w:rStyle w:val="Lienhypertexte"/>
            <w:i/>
            <w:iCs/>
          </w:rPr>
          <w:t>et al.</w:t>
        </w:r>
        <w:r>
          <w:rPr>
            <w:rStyle w:val="Lienhypertexte"/>
          </w:rPr>
          <w:t xml:space="preserve"> 2022</w:t>
        </w:r>
      </w:hyperlink>
      <w:r>
        <w:t>). For instance, the physical coastal environment is highly dynamic; a feature that is only partially characterised by our env</w:t>
      </w:r>
      <w:r>
        <w:t xml:space="preserve">ironmental variables that summarise average climatological conditions (but not extreme events or annual/seasonal variability). Likewise, the list of available fuzzy-coded traits only partially captures species capacity to adapt to frequent disturbances or </w:t>
      </w:r>
      <w:r>
        <w:t>environmental variability (</w:t>
      </w:r>
      <w:hyperlink w:anchor="ref-Violle_2012">
        <w:r>
          <w:rPr>
            <w:rStyle w:val="Lienhypertexte"/>
          </w:rPr>
          <w:t xml:space="preserve">Violle </w:t>
        </w:r>
        <w:r>
          <w:rPr>
            <w:rStyle w:val="Lienhypertexte"/>
            <w:i/>
            <w:iCs/>
          </w:rPr>
          <w:t>et al.</w:t>
        </w:r>
        <w:r>
          <w:rPr>
            <w:rStyle w:val="Lienhypertexte"/>
          </w:rPr>
          <w:t xml:space="preserve"> 2012</w:t>
        </w:r>
      </w:hyperlink>
      <w:r>
        <w:t xml:space="preserve"> ; </w:t>
      </w:r>
      <w:hyperlink w:anchor="ref-deJuan_2022">
        <w:r>
          <w:rPr>
            <w:rStyle w:val="Lienhypertexte"/>
          </w:rPr>
          <w:t xml:space="preserve">Juan </w:t>
        </w:r>
        <w:r>
          <w:rPr>
            <w:rStyle w:val="Lienhypertexte"/>
            <w:i/>
            <w:iCs/>
          </w:rPr>
          <w:t>et al.</w:t>
        </w:r>
        <w:r>
          <w:rPr>
            <w:rStyle w:val="Lienhypertexte"/>
          </w:rPr>
          <w:t xml:space="preserve"> 2022</w:t>
        </w:r>
      </w:hyperlink>
      <w:r>
        <w:t>). Most ecological studies are likely to face similar trade-offs where the potential benefit of including traits wit</w:t>
      </w:r>
      <w:r>
        <w:t>hin jSDMs is balanced out by the effort needed to collect relevant trait information when missing. In our case, while including traits does not improve model predictive power, it enhances our understanding of species responses along environmental gradients</w:t>
      </w:r>
      <w:r>
        <w:t>. Hence, if the goal is not prediction but inference (</w:t>
      </w:r>
      <w:hyperlink w:anchor="ref-Tredennick_2021">
        <w:r>
          <w:rPr>
            <w:rStyle w:val="Lienhypertexte"/>
          </w:rPr>
          <w:t xml:space="preserve">Tredennick </w:t>
        </w:r>
        <w:r>
          <w:rPr>
            <w:rStyle w:val="Lienhypertexte"/>
            <w:i/>
            <w:iCs/>
          </w:rPr>
          <w:t>et al.</w:t>
        </w:r>
        <w:r>
          <w:rPr>
            <w:rStyle w:val="Lienhypertexte"/>
          </w:rPr>
          <w:t xml:space="preserve"> 2021</w:t>
        </w:r>
      </w:hyperlink>
      <w:r>
        <w:t>), including traits and proxies of phylogeny can facilitate model interpretation, providing that explanatory power does not decrease (as i</w:t>
      </w:r>
      <w:r>
        <w:t>n our case), and that additional model parameters do not make computation time impractical.</w:t>
      </w:r>
    </w:p>
    <w:p w:rsidR="00ED22E3" w:rsidRDefault="00BE0193">
      <w:pPr>
        <w:pStyle w:val="Corpsdetexte"/>
      </w:pPr>
      <w:r>
        <w:t>While guidelines have been developed to characterise the performance of jSDM fitted on presence-absence data (</w:t>
      </w:r>
      <w:hyperlink w:anchor="ref-Wilkinson_2020">
        <w:r>
          <w:rPr>
            <w:rStyle w:val="Lienhypertexte"/>
          </w:rPr>
          <w:t xml:space="preserve">Wilkinson </w:t>
        </w:r>
        <w:r>
          <w:rPr>
            <w:rStyle w:val="Lienhypertexte"/>
            <w:i/>
            <w:iCs/>
          </w:rPr>
          <w:t xml:space="preserve">et </w:t>
        </w:r>
        <w:r>
          <w:rPr>
            <w:rStyle w:val="Lienhypertexte"/>
            <w:i/>
            <w:iCs/>
          </w:rPr>
          <w:t>al.</w:t>
        </w:r>
        <w:r>
          <w:rPr>
            <w:rStyle w:val="Lienhypertexte"/>
          </w:rPr>
          <w:t xml:space="preserve"> 2020</w:t>
        </w:r>
      </w:hyperlink>
      <w:r>
        <w:t>), it is only recently that the predictive power of abundance-based models has been explored (</w:t>
      </w:r>
      <w:hyperlink w:anchor="ref-Waldock_2022">
        <w:r>
          <w:rPr>
            <w:rStyle w:val="Lienhypertexte"/>
          </w:rPr>
          <w:t xml:space="preserve">Waldock </w:t>
        </w:r>
        <w:r>
          <w:rPr>
            <w:rStyle w:val="Lienhypertexte"/>
            <w:i/>
            <w:iCs/>
          </w:rPr>
          <w:t>et al.</w:t>
        </w:r>
        <w:r>
          <w:rPr>
            <w:rStyle w:val="Lienhypertexte"/>
          </w:rPr>
          <w:t xml:space="preserve"> 2022</w:t>
        </w:r>
      </w:hyperlink>
      <w:r>
        <w:t>). Here, we used a set of complementary metrics to assess the performance of both presence-absence and abundance models at the species and community levels, the latter considering both alpha and beta diversity. We also transposed a method initially develop</w:t>
      </w:r>
      <w:r>
        <w:t>ed for time series (</w:t>
      </w:r>
      <w:hyperlink w:anchor="ref-Rigal_2020">
        <w:r>
          <w:rPr>
            <w:rStyle w:val="Lienhypertexte"/>
          </w:rPr>
          <w:t xml:space="preserve">Rigal </w:t>
        </w:r>
        <w:r>
          <w:rPr>
            <w:rStyle w:val="Lienhypertexte"/>
            <w:i/>
            <w:iCs/>
          </w:rPr>
          <w:t>et al.</w:t>
        </w:r>
        <w:r>
          <w:rPr>
            <w:rStyle w:val="Lienhypertexte"/>
          </w:rPr>
          <w:t xml:space="preserve"> 2020</w:t>
        </w:r>
      </w:hyperlink>
      <w:r>
        <w:t>) to provide an innovative way of characterising the response curves of each species. Further, we bring together a set of approaches and propose a new index to characterise and compa</w:t>
      </w:r>
      <w:r>
        <w:t>re residual correlation matrices. Overall, we provide a comprehensive framework for integrative assessment and comparison of alternative jSDM performance.</w:t>
      </w:r>
    </w:p>
    <w:p w:rsidR="00ED22E3" w:rsidRDefault="00BE0193">
      <w:pPr>
        <w:pStyle w:val="Corpsdetexte"/>
      </w:pPr>
      <w:r>
        <w:t>Overall, our results provide new insights into the most appropriate strategies for jSDM fitting, acco</w:t>
      </w:r>
      <w:r>
        <w:t>rding to modelling objectives (</w:t>
      </w:r>
      <w:hyperlink w:anchor="ref-Troudet_2017">
        <w:r>
          <w:rPr>
            <w:rStyle w:val="Lienhypertexte"/>
          </w:rPr>
          <w:t xml:space="preserve">Troudet </w:t>
        </w:r>
        <w:r>
          <w:rPr>
            <w:rStyle w:val="Lienhypertexte"/>
            <w:i/>
            <w:iCs/>
          </w:rPr>
          <w:t>et al.</w:t>
        </w:r>
        <w:r>
          <w:rPr>
            <w:rStyle w:val="Lienhypertexte"/>
          </w:rPr>
          <w:t xml:space="preserve"> 2017</w:t>
        </w:r>
      </w:hyperlink>
      <w:r>
        <w:t>) and available data. While the four models considered had similar explanatory power, adding extra information to traditional jSDMs that only consider abiotic predicto</w:t>
      </w:r>
      <w:r>
        <w:t>rs can prove useful in cases. For instance, adding monitoring data for other non-target species can substantially increase model predictive power by modifying inferred species-environment relationships and residual correlation matrices. Similarly, adding t</w:t>
      </w:r>
      <w:r>
        <w:t>raits or phylogeny can improve model interpretability. Future studies will be key to consolidate our findings on simulated case studies (</w:t>
      </w:r>
      <w:hyperlink w:anchor="ref-Zurell_2010">
        <w:r>
          <w:rPr>
            <w:rStyle w:val="Lienhypertexte"/>
          </w:rPr>
          <w:t xml:space="preserve">Zurell </w:t>
        </w:r>
        <w:r>
          <w:rPr>
            <w:rStyle w:val="Lienhypertexte"/>
            <w:i/>
            <w:iCs/>
          </w:rPr>
          <w:t>et al.</w:t>
        </w:r>
        <w:r>
          <w:rPr>
            <w:rStyle w:val="Lienhypertexte"/>
          </w:rPr>
          <w:t xml:space="preserve"> 2010</w:t>
        </w:r>
      </w:hyperlink>
      <w:r>
        <w:t xml:space="preserve"> ; </w:t>
      </w:r>
      <w:hyperlink w:anchor="ref-DiRenzo_2022">
        <w:r>
          <w:rPr>
            <w:rStyle w:val="Lienhypertexte"/>
          </w:rPr>
          <w:t xml:space="preserve">DiRenzo </w:t>
        </w:r>
        <w:r>
          <w:rPr>
            <w:rStyle w:val="Lienhypertexte"/>
            <w:i/>
            <w:iCs/>
          </w:rPr>
          <w:t>et al.</w:t>
        </w:r>
        <w:r>
          <w:rPr>
            <w:rStyle w:val="Lienhypertexte"/>
          </w:rPr>
          <w:t xml:space="preserve"> 2022</w:t>
        </w:r>
      </w:hyperlink>
      <w:r>
        <w:t>),</w:t>
      </w:r>
      <w:r>
        <w:t xml:space="preserve"> or across contrasted ecosystems, for instance dominated either by environmental filtering, or by competitive processes.</w:t>
      </w:r>
    </w:p>
    <w:p w:rsidR="00ED22E3" w:rsidRDefault="00BE0193">
      <w:pPr>
        <w:pStyle w:val="Titre2"/>
      </w:pPr>
      <w:bookmarkStart w:id="25" w:name="author-contributions"/>
      <w:r>
        <w:t>Author Contributions</w:t>
      </w:r>
    </w:p>
    <w:p w:rsidR="00ED22E3" w:rsidRDefault="00BE0193">
      <w:pPr>
        <w:pStyle w:val="FirstParagraph"/>
      </w:pPr>
      <w:r>
        <w:t>MPM conceived the project with inputs from CV, AB, MC. CV analysed data and led manuscript write-up. All authors h</w:t>
      </w:r>
      <w:r>
        <w:t>ad significant inputs to the manuscript and approved this final version.</w:t>
      </w:r>
    </w:p>
    <w:p w:rsidR="00ED22E3" w:rsidRDefault="00BE0193">
      <w:pPr>
        <w:pStyle w:val="Titre2"/>
      </w:pPr>
      <w:bookmarkStart w:id="26" w:name="acknowledgments"/>
      <w:bookmarkEnd w:id="25"/>
      <w:r>
        <w:lastRenderedPageBreak/>
        <w:t>Acknowledgments</w:t>
      </w:r>
    </w:p>
    <w:p w:rsidR="00ED22E3" w:rsidRDefault="00BE0193">
      <w:pPr>
        <w:pStyle w:val="FirstParagraph"/>
      </w:pPr>
      <w:r>
        <w:t>We are grateful to Marion Maguer and Vincent Le Garrec who conducted fieldwork and laboratory analyses, as well as to supporting students and staff involved in the REB</w:t>
      </w:r>
      <w:r>
        <w:t>ENT monitoring programme coordinated by Sandrine Derrien (MNHN) and its funding partners (Agence de l’eau Loire-Bretagne, Région Bretagne, DREAL Bretagne). The authors would also like to acknowledge the Pôle de Calcul et de Données Marines (PCDM) for prov</w:t>
      </w:r>
      <w:r>
        <w:t xml:space="preserve">iding DATARMOR storage and computational resources. </w:t>
      </w:r>
      <w:hyperlink r:id="rId15">
        <w:r>
          <w:rPr>
            <w:rStyle w:val="Lienhypertexte"/>
          </w:rPr>
          <w:t>https://pcdm.ifremer.fr</w:t>
        </w:r>
      </w:hyperlink>
      <w:r>
        <w:t>. MPM is the recipient of an ANR early career grant ANR-21-CE02-0006.</w:t>
      </w:r>
    </w:p>
    <w:bookmarkEnd w:id="24"/>
    <w:bookmarkEnd w:id="26"/>
    <w:p w:rsidR="00ED22E3" w:rsidRDefault="00BE0193">
      <w:pPr>
        <w:pStyle w:val="Titre1"/>
      </w:pPr>
      <w:r>
        <w:t>References</w:t>
      </w:r>
    </w:p>
    <w:p w:rsidR="00ED22E3" w:rsidRDefault="00BE0193">
      <w:pPr>
        <w:pStyle w:val="FirstParagraph"/>
      </w:pPr>
      <w:r>
        <w:t xml:space="preserve">Abrego, N., Bässler, C., Christensen, M. &amp; Heilmann-Clausen, J. (2022). </w:t>
      </w:r>
      <w:hyperlink r:id="rId16">
        <w:r>
          <w:rPr>
            <w:rStyle w:val="Lienhypertexte"/>
          </w:rPr>
          <w:t>Traits and phylogenies modulate the environmental responses of wood-inhabiting fungal communities across spatial scales</w:t>
        </w:r>
      </w:hyperlink>
      <w:r>
        <w:t xml:space="preserve">. </w:t>
      </w:r>
      <w:r>
        <w:rPr>
          <w:i/>
          <w:iCs/>
        </w:rPr>
        <w:t>Jour</w:t>
      </w:r>
      <w:r>
        <w:rPr>
          <w:i/>
          <w:iCs/>
        </w:rPr>
        <w:t>nal of Ecology</w:t>
      </w:r>
      <w:r>
        <w:t>, 110, 784–798.</w:t>
      </w:r>
    </w:p>
    <w:p w:rsidR="00ED22E3" w:rsidRDefault="00BE0193">
      <w:pPr>
        <w:pStyle w:val="Corpsdetexte"/>
      </w:pPr>
      <w:r>
        <w:t xml:space="preserve">Abrego, N., Dunson, D., Halme, P., Salcedo, I. &amp; Ovaskainen, O. (2017). </w:t>
      </w:r>
      <w:hyperlink r:id="rId17">
        <w:r>
          <w:rPr>
            <w:rStyle w:val="Lienhypertexte"/>
          </w:rPr>
          <w:t>Wood-inhabiting fungi with tight associations with other species have declined as a response to fores</w:t>
        </w:r>
        <w:r>
          <w:rPr>
            <w:rStyle w:val="Lienhypertexte"/>
          </w:rPr>
          <w:t>t management</w:t>
        </w:r>
      </w:hyperlink>
      <w:r>
        <w:t xml:space="preserve">. </w:t>
      </w:r>
      <w:r>
        <w:rPr>
          <w:i/>
          <w:iCs/>
        </w:rPr>
        <w:t>Oikos</w:t>
      </w:r>
      <w:r>
        <w:t>, 126.</w:t>
      </w:r>
    </w:p>
    <w:p w:rsidR="00ED22E3" w:rsidRDefault="00BE0193">
      <w:pPr>
        <w:pStyle w:val="Corpsdetexte"/>
      </w:pPr>
      <w:r>
        <w:t xml:space="preserve">Baselga, A. (2010). </w:t>
      </w:r>
      <w:hyperlink r:id="rId18">
        <w:r>
          <w:rPr>
            <w:rStyle w:val="Lienhypertexte"/>
          </w:rPr>
          <w:t>Partitioning the turnover and nestedness components of beta diversity</w:t>
        </w:r>
      </w:hyperlink>
      <w:r>
        <w:t xml:space="preserve">. </w:t>
      </w:r>
      <w:r>
        <w:rPr>
          <w:i/>
          <w:iCs/>
        </w:rPr>
        <w:t>Global Ecology and Biogeography</w:t>
      </w:r>
      <w:r>
        <w:t>, 19, 134–143.</w:t>
      </w:r>
    </w:p>
    <w:p w:rsidR="00ED22E3" w:rsidRDefault="00BE0193">
      <w:pPr>
        <w:pStyle w:val="Corpsdetexte"/>
      </w:pPr>
      <w:r>
        <w:t>Baselga, A., Orme, D., Vi</w:t>
      </w:r>
      <w:r>
        <w:t xml:space="preserve">lleger, S., De Bortoli, J., Leprieur, F. &amp; Logez, M. (2022). </w:t>
      </w:r>
      <w:hyperlink r:id="rId19">
        <w:r>
          <w:rPr>
            <w:rStyle w:val="Lienhypertexte"/>
            <w:i/>
            <w:iCs/>
          </w:rPr>
          <w:t>Betapart: Partitioning beta diversity into turnover and nestedness components</w:t>
        </w:r>
      </w:hyperlink>
      <w:r>
        <w:t>.</w:t>
      </w:r>
    </w:p>
    <w:p w:rsidR="00ED22E3" w:rsidRDefault="00BE0193">
      <w:pPr>
        <w:pStyle w:val="Corpsdetexte"/>
      </w:pPr>
      <w:r>
        <w:t xml:space="preserve">Blanchet, F.G., Cazelles, K. &amp; Gravel, D. (2020). </w:t>
      </w:r>
      <w:hyperlink r:id="rId20">
        <w:r>
          <w:rPr>
            <w:rStyle w:val="Lienhypertexte"/>
          </w:rPr>
          <w:t>Co-occurrence is not evidence of ecological interactions</w:t>
        </w:r>
      </w:hyperlink>
      <w:r>
        <w:t xml:space="preserve">. </w:t>
      </w:r>
      <w:r>
        <w:rPr>
          <w:i/>
          <w:iCs/>
        </w:rPr>
        <w:t>Ecology Letters</w:t>
      </w:r>
      <w:r>
        <w:t>.</w:t>
      </w:r>
    </w:p>
    <w:p w:rsidR="00ED22E3" w:rsidRDefault="00BE0193">
      <w:pPr>
        <w:pStyle w:val="Corpsdetexte"/>
      </w:pPr>
      <w:r>
        <w:t xml:space="preserve">Boyé, A., Gauthier, O., Becheler, R., Le Garrec, V., Hily, C., Maguer, M., </w:t>
      </w:r>
      <w:r>
        <w:rPr>
          <w:i/>
          <w:iCs/>
        </w:rPr>
        <w:t>et al.</w:t>
      </w:r>
      <w:r>
        <w:t xml:space="preserve"> (2022). </w:t>
      </w:r>
      <w:hyperlink r:id="rId21">
        <w:r>
          <w:rPr>
            <w:rStyle w:val="Lienhypertexte"/>
          </w:rPr>
          <w:t>Drivers and limits of phenotypic responses in vulnerable seagrass populations: Zostera marina in the intertidal</w:t>
        </w:r>
      </w:hyperlink>
      <w:r>
        <w:t xml:space="preserve">. </w:t>
      </w:r>
      <w:r>
        <w:rPr>
          <w:i/>
          <w:iCs/>
        </w:rPr>
        <w:t>Journal of Ecology</w:t>
      </w:r>
      <w:r>
        <w:t>, 110, 144–161.</w:t>
      </w:r>
    </w:p>
    <w:p w:rsidR="00ED22E3" w:rsidRDefault="00BE0193">
      <w:pPr>
        <w:pStyle w:val="Corpsdetexte"/>
      </w:pPr>
      <w:r>
        <w:t>Boyé, A., Legendre, P., Grall, J. &amp; Gauthier, O. (20</w:t>
      </w:r>
      <w:r>
        <w:t xml:space="preserve">17). </w:t>
      </w:r>
      <w:hyperlink r:id="rId22">
        <w:r>
          <w:rPr>
            <w:rStyle w:val="Lienhypertexte"/>
          </w:rPr>
          <w:t>Constancy despite variability: Local and regional macrofaunal diversity in intertidal seagrass beds</w:t>
        </w:r>
      </w:hyperlink>
      <w:r>
        <w:t xml:space="preserve">. </w:t>
      </w:r>
      <w:r>
        <w:rPr>
          <w:i/>
          <w:iCs/>
        </w:rPr>
        <w:t>Journal of Sea Research</w:t>
      </w:r>
      <w:r>
        <w:t>, 130, 107–122.</w:t>
      </w:r>
    </w:p>
    <w:p w:rsidR="00ED22E3" w:rsidRDefault="00BE0193">
      <w:pPr>
        <w:pStyle w:val="Corpsdetexte"/>
      </w:pPr>
      <w:r>
        <w:t xml:space="preserve">Boyé, A., Thiébaut, Éric, Grall, J., Legendre, </w:t>
      </w:r>
      <w:r>
        <w:t xml:space="preserve">P., Broudin, C., Houbin, C., </w:t>
      </w:r>
      <w:r>
        <w:rPr>
          <w:i/>
          <w:iCs/>
        </w:rPr>
        <w:t>et al.</w:t>
      </w:r>
      <w:r>
        <w:t xml:space="preserve"> (2019). </w:t>
      </w:r>
      <w:hyperlink r:id="rId23">
        <w:r>
          <w:rPr>
            <w:rStyle w:val="Lienhypertexte"/>
          </w:rPr>
          <w:t>Trait-based approach to monitoring marine benthic data along 500 km of coastline</w:t>
        </w:r>
      </w:hyperlink>
      <w:r>
        <w:t xml:space="preserve">. </w:t>
      </w:r>
      <w:r>
        <w:rPr>
          <w:i/>
          <w:iCs/>
        </w:rPr>
        <w:t>Diversity and Distributions</w:t>
      </w:r>
      <w:r>
        <w:t>, 25, 1879–1896.</w:t>
      </w:r>
    </w:p>
    <w:p w:rsidR="00ED22E3" w:rsidRDefault="00BE0193">
      <w:pPr>
        <w:pStyle w:val="Corpsdetexte"/>
      </w:pPr>
      <w:r>
        <w:t>Brimacombe, C., Bodner, K. &amp; Fort</w:t>
      </w:r>
      <w:r>
        <w:t xml:space="preserve">in, M.-J. (2020). </w:t>
      </w:r>
      <w:hyperlink r:id="rId24">
        <w:r>
          <w:rPr>
            <w:rStyle w:val="Lienhypertexte"/>
          </w:rPr>
          <w:t>Inferred seasonal interaction rewiring of a freshwater stream fish network</w:t>
        </w:r>
      </w:hyperlink>
      <w:r>
        <w:t xml:space="preserve">. </w:t>
      </w:r>
      <w:r>
        <w:rPr>
          <w:i/>
          <w:iCs/>
        </w:rPr>
        <w:t>Ecography</w:t>
      </w:r>
      <w:r>
        <w:t>, n/a.</w:t>
      </w:r>
    </w:p>
    <w:p w:rsidR="00ED22E3" w:rsidRDefault="00BE0193">
      <w:pPr>
        <w:pStyle w:val="Corpsdetexte"/>
      </w:pPr>
      <w:r>
        <w:t xml:space="preserve">Brudvig, L.A. &amp; Catano, C.P. (2022). </w:t>
      </w:r>
      <w:hyperlink r:id="rId25">
        <w:r>
          <w:rPr>
            <w:rStyle w:val="Lienhypertexte"/>
          </w:rPr>
          <w:t>Pr</w:t>
        </w:r>
        <w:r>
          <w:rPr>
            <w:rStyle w:val="Lienhypertexte"/>
          </w:rPr>
          <w:t>ediction and uncertainty in restoration science</w:t>
        </w:r>
      </w:hyperlink>
      <w:r>
        <w:t xml:space="preserve">. </w:t>
      </w:r>
      <w:r>
        <w:rPr>
          <w:i/>
          <w:iCs/>
        </w:rPr>
        <w:t>Restoration Ecology</w:t>
      </w:r>
      <w:r>
        <w:t>, n/a, e13380.</w:t>
      </w:r>
    </w:p>
    <w:p w:rsidR="00ED22E3" w:rsidRDefault="00BE0193">
      <w:pPr>
        <w:pStyle w:val="Corpsdetexte"/>
      </w:pPr>
      <w:r>
        <w:t xml:space="preserve">Chesson, P. (2000). </w:t>
      </w:r>
      <w:hyperlink r:id="rId26">
        <w:r>
          <w:rPr>
            <w:rStyle w:val="Lienhypertexte"/>
          </w:rPr>
          <w:t>Mechanisms of maintenance of species diversity</w:t>
        </w:r>
      </w:hyperlink>
      <w:r>
        <w:t xml:space="preserve">. </w:t>
      </w:r>
      <w:r>
        <w:rPr>
          <w:i/>
          <w:iCs/>
        </w:rPr>
        <w:t>Annual Review of Ecology and Systemat</w:t>
      </w:r>
      <w:r>
        <w:rPr>
          <w:i/>
          <w:iCs/>
        </w:rPr>
        <w:t>ics</w:t>
      </w:r>
      <w:r>
        <w:t>, 31, 343–366.</w:t>
      </w:r>
    </w:p>
    <w:p w:rsidR="00ED22E3" w:rsidRDefault="00BE0193">
      <w:pPr>
        <w:pStyle w:val="Corpsdetexte"/>
      </w:pPr>
      <w:r>
        <w:lastRenderedPageBreak/>
        <w:t xml:space="preserve">Chiquet, J., Mariadassou, M. &amp; Robin, S. (2021). </w:t>
      </w:r>
      <w:hyperlink r:id="rId27">
        <w:r>
          <w:rPr>
            <w:rStyle w:val="Lienhypertexte"/>
          </w:rPr>
          <w:t>The poisson-lognormal model as a versatile framework for the joint analysis of species abundances</w:t>
        </w:r>
      </w:hyperlink>
      <w:r>
        <w:t xml:space="preserve">. </w:t>
      </w:r>
      <w:r>
        <w:rPr>
          <w:i/>
          <w:iCs/>
        </w:rPr>
        <w:t>Frontiers in Ecology and Evolu</w:t>
      </w:r>
      <w:r>
        <w:rPr>
          <w:i/>
          <w:iCs/>
        </w:rPr>
        <w:t>tion</w:t>
      </w:r>
      <w:r>
        <w:t>, 9.</w:t>
      </w:r>
    </w:p>
    <w:p w:rsidR="00ED22E3" w:rsidRDefault="00BE0193">
      <w:pPr>
        <w:pStyle w:val="Corpsdetexte"/>
      </w:pPr>
      <w:r>
        <w:t xml:space="preserve">Dietze, M.C., Fox, A., Beck-Johnson, L.M., Betancourt, J.L., Hooten, M.B., Jarnevich, C.S., </w:t>
      </w:r>
      <w:r>
        <w:rPr>
          <w:i/>
          <w:iCs/>
        </w:rPr>
        <w:t>et al.</w:t>
      </w:r>
      <w:r>
        <w:t xml:space="preserve"> (2018). </w:t>
      </w:r>
      <w:hyperlink r:id="rId28">
        <w:r>
          <w:rPr>
            <w:rStyle w:val="Lienhypertexte"/>
          </w:rPr>
          <w:t>Iterative near-term ecological forecasting: Needs, opportunities, and challenges</w:t>
        </w:r>
      </w:hyperlink>
      <w:r>
        <w:t>.</w:t>
      </w:r>
      <w:r>
        <w:t xml:space="preserve"> </w:t>
      </w:r>
      <w:r>
        <w:rPr>
          <w:i/>
          <w:iCs/>
        </w:rPr>
        <w:t>Proceedings of the National Academy of Sciences</w:t>
      </w:r>
      <w:r>
        <w:t>, 115, 1424–1432.</w:t>
      </w:r>
    </w:p>
    <w:p w:rsidR="00ED22E3" w:rsidRDefault="00BE0193">
      <w:pPr>
        <w:pStyle w:val="Corpsdetexte"/>
      </w:pPr>
      <w:r>
        <w:t xml:space="preserve">DiRenzo, G.V., Hanks, E. &amp; Miller, D.A.W. (2022). </w:t>
      </w:r>
      <w:hyperlink r:id="rId29">
        <w:r>
          <w:rPr>
            <w:rStyle w:val="Lienhypertexte"/>
          </w:rPr>
          <w:t>A practical guide to understanding and validating complex models using data simul</w:t>
        </w:r>
        <w:r>
          <w:rPr>
            <w:rStyle w:val="Lienhypertexte"/>
          </w:rPr>
          <w:t>ations</w:t>
        </w:r>
      </w:hyperlink>
      <w:r>
        <w:t xml:space="preserve">. </w:t>
      </w:r>
      <w:r>
        <w:rPr>
          <w:i/>
          <w:iCs/>
        </w:rPr>
        <w:t>Methods in Ecology and Evolution</w:t>
      </w:r>
      <w:r>
        <w:t>, n/a.</w:t>
      </w:r>
    </w:p>
    <w:p w:rsidR="00ED22E3" w:rsidRDefault="00BE0193">
      <w:pPr>
        <w:pStyle w:val="Corpsdetexte"/>
      </w:pPr>
      <w:r>
        <w:t xml:space="preserve">Dormann, C.F., Bobrowski, M., Dehling, D.M., Harris, D.J., Hartig, F., Lischke, H., </w:t>
      </w:r>
      <w:r>
        <w:rPr>
          <w:i/>
          <w:iCs/>
        </w:rPr>
        <w:t>et al.</w:t>
      </w:r>
      <w:r>
        <w:t xml:space="preserve"> (2018). </w:t>
      </w:r>
      <w:hyperlink r:id="rId30">
        <w:r>
          <w:rPr>
            <w:rStyle w:val="Lienhypertexte"/>
          </w:rPr>
          <w:t>Biotic interactions in species distribution modelling: 10 questions to guide interpretation and avoid false conclusions</w:t>
        </w:r>
      </w:hyperlink>
      <w:r>
        <w:t xml:space="preserve">. </w:t>
      </w:r>
      <w:r>
        <w:rPr>
          <w:i/>
          <w:iCs/>
        </w:rPr>
        <w:t>Global Ecology and Biogeography</w:t>
      </w:r>
      <w:r>
        <w:t>, 27, 1004–1016.</w:t>
      </w:r>
    </w:p>
    <w:p w:rsidR="00ED22E3" w:rsidRDefault="00BE0193">
      <w:pPr>
        <w:pStyle w:val="Corpsdetexte"/>
      </w:pPr>
      <w:r>
        <w:t xml:space="preserve">Elith, J., H. Graham, C., P. Anderson, R., Dudı́k, M., Ferrier, S., Guisan, A., </w:t>
      </w:r>
      <w:r>
        <w:rPr>
          <w:i/>
          <w:iCs/>
        </w:rPr>
        <w:t>et al.</w:t>
      </w:r>
      <w:r>
        <w:t xml:space="preserve"> </w:t>
      </w:r>
      <w:r>
        <w:t xml:space="preserve">(2006). </w:t>
      </w:r>
      <w:hyperlink r:id="rId31">
        <w:r>
          <w:rPr>
            <w:rStyle w:val="Lienhypertexte"/>
          </w:rPr>
          <w:t>Novel methods improve prediction of species’ distributions from occurrence data</w:t>
        </w:r>
      </w:hyperlink>
      <w:r>
        <w:t xml:space="preserve">. </w:t>
      </w:r>
      <w:r>
        <w:rPr>
          <w:i/>
          <w:iCs/>
        </w:rPr>
        <w:t>Ecography</w:t>
      </w:r>
      <w:r>
        <w:t>, 29, 129–151.</w:t>
      </w:r>
    </w:p>
    <w:p w:rsidR="00ED22E3" w:rsidRDefault="00BE0193">
      <w:pPr>
        <w:pStyle w:val="Corpsdetexte"/>
      </w:pPr>
      <w:r>
        <w:t xml:space="preserve">Froese, R. &amp; Pauly, D. (2022). </w:t>
      </w:r>
      <w:hyperlink r:id="rId32">
        <w:r>
          <w:rPr>
            <w:rStyle w:val="Lienhypertexte"/>
          </w:rPr>
          <w:t>FishBase</w:t>
        </w:r>
      </w:hyperlink>
      <w:r>
        <w:t>.</w:t>
      </w:r>
    </w:p>
    <w:p w:rsidR="00ED22E3" w:rsidRDefault="00BE0193">
      <w:pPr>
        <w:pStyle w:val="Corpsdetexte"/>
      </w:pPr>
      <w:r>
        <w:t xml:space="preserve">Gelman, A., Hill, J. &amp; Vehtari, A. (2020). </w:t>
      </w:r>
      <w:hyperlink r:id="rId33">
        <w:r>
          <w:rPr>
            <w:rStyle w:val="Lienhypertexte"/>
            <w:i/>
            <w:iCs/>
          </w:rPr>
          <w:t>Regression and other stories</w:t>
        </w:r>
      </w:hyperlink>
      <w:r>
        <w:t>. Analytical methods for social research. Cambridge University Press.</w:t>
      </w:r>
    </w:p>
    <w:p w:rsidR="00ED22E3" w:rsidRDefault="00BE0193">
      <w:pPr>
        <w:pStyle w:val="Corpsdetexte"/>
      </w:pPr>
      <w:r>
        <w:t xml:space="preserve">Gelman, A. &amp; Rubin, D.B. (1992). </w:t>
      </w:r>
      <w:hyperlink r:id="rId34">
        <w:r>
          <w:rPr>
            <w:rStyle w:val="Lienhypertexte"/>
          </w:rPr>
          <w:t>Inference from iterative simulation using multiple sequences</w:t>
        </w:r>
      </w:hyperlink>
      <w:r>
        <w:t xml:space="preserve">. </w:t>
      </w:r>
      <w:r>
        <w:rPr>
          <w:i/>
          <w:iCs/>
        </w:rPr>
        <w:t>Statistical Science</w:t>
      </w:r>
      <w:r>
        <w:t>, 7, 457–472.</w:t>
      </w:r>
    </w:p>
    <w:p w:rsidR="00ED22E3" w:rsidRDefault="00BE0193">
      <w:pPr>
        <w:pStyle w:val="Corpsdetexte"/>
      </w:pPr>
      <w:r>
        <w:t xml:space="preserve">Giangrande, A. (1997). </w:t>
      </w:r>
      <w:hyperlink r:id="rId35">
        <w:r>
          <w:rPr>
            <w:rStyle w:val="Lienhypertexte"/>
          </w:rPr>
          <w:t>Polychaete reproductive patterns, life cycle</w:t>
        </w:r>
        <w:r>
          <w:rPr>
            <w:rStyle w:val="Lienhypertexte"/>
          </w:rPr>
          <w:t>s and life histories: An overview</w:t>
        </w:r>
      </w:hyperlink>
      <w:r>
        <w:t xml:space="preserve">. In: </w:t>
      </w:r>
      <w:r>
        <w:rPr>
          <w:i/>
          <w:iCs/>
        </w:rPr>
        <w:t>Oceanography and marine biology</w:t>
      </w:r>
      <w:r>
        <w:t xml:space="preserve"> (ed. A. D.Ansell, M.B., R. N.Gibson). CRC Press, pp. 310–411.</w:t>
      </w:r>
    </w:p>
    <w:p w:rsidR="00ED22E3" w:rsidRDefault="00BE0193">
      <w:pPr>
        <w:pStyle w:val="Corpsdetexte"/>
      </w:pPr>
      <w:r>
        <w:t xml:space="preserve">Giangrande, A., Licciano, M. &amp; Musco, L. (2005). </w:t>
      </w:r>
      <w:hyperlink r:id="rId36">
        <w:r>
          <w:rPr>
            <w:rStyle w:val="Lienhypertexte"/>
          </w:rPr>
          <w:t>Polycha</w:t>
        </w:r>
        <w:r>
          <w:rPr>
            <w:rStyle w:val="Lienhypertexte"/>
          </w:rPr>
          <w:t>etes as environmental indicators revisited</w:t>
        </w:r>
      </w:hyperlink>
      <w:r>
        <w:t xml:space="preserve">. </w:t>
      </w:r>
      <w:r>
        <w:rPr>
          <w:i/>
          <w:iCs/>
        </w:rPr>
        <w:t>Marine Pollution Bulletin</w:t>
      </w:r>
      <w:r>
        <w:t>, 50, 1153–1162.</w:t>
      </w:r>
    </w:p>
    <w:p w:rsidR="00ED22E3" w:rsidRDefault="00BE0193">
      <w:pPr>
        <w:pStyle w:val="Corpsdetexte"/>
      </w:pPr>
      <w:r>
        <w:t xml:space="preserve">Giannini, T.C., Chapman, D.S., Saraiva, A.M., Alves-dos-Santos, I. &amp; Biesmeijer, J.C. (2013). </w:t>
      </w:r>
      <w:hyperlink r:id="rId37">
        <w:r>
          <w:rPr>
            <w:rStyle w:val="Lienhypertexte"/>
          </w:rPr>
          <w:t>Improvin</w:t>
        </w:r>
        <w:r>
          <w:rPr>
            <w:rStyle w:val="Lienhypertexte"/>
          </w:rPr>
          <w:t>g species distribution models using biotic interactions: A case study of parasites, pollinators and plants</w:t>
        </w:r>
      </w:hyperlink>
      <w:r>
        <w:t xml:space="preserve">. </w:t>
      </w:r>
      <w:r>
        <w:rPr>
          <w:i/>
          <w:iCs/>
        </w:rPr>
        <w:t>Ecography</w:t>
      </w:r>
      <w:r>
        <w:t>, 36, 649–656.</w:t>
      </w:r>
    </w:p>
    <w:p w:rsidR="00ED22E3" w:rsidRDefault="00BE0193">
      <w:pPr>
        <w:pStyle w:val="Corpsdetexte"/>
      </w:pPr>
      <w:r>
        <w:t xml:space="preserve">Godsoe, W., Franklin, J. &amp; Blanchet, F.G. (2017). </w:t>
      </w:r>
      <w:hyperlink r:id="rId38">
        <w:r>
          <w:rPr>
            <w:rStyle w:val="Lienhypertexte"/>
          </w:rPr>
          <w:t>Effects of biotic int</w:t>
        </w:r>
        <w:r>
          <w:rPr>
            <w:rStyle w:val="Lienhypertexte"/>
          </w:rPr>
          <w:t>eractions on modeled species’ distribution can be masked by environmental gradients</w:t>
        </w:r>
      </w:hyperlink>
      <w:r>
        <w:t xml:space="preserve">. </w:t>
      </w:r>
      <w:r>
        <w:rPr>
          <w:i/>
          <w:iCs/>
        </w:rPr>
        <w:t>Ecology and Evolution</w:t>
      </w:r>
      <w:r>
        <w:t>, 7, 654–664.</w:t>
      </w:r>
    </w:p>
    <w:p w:rsidR="00ED22E3" w:rsidRDefault="00BE0193">
      <w:pPr>
        <w:pStyle w:val="Corpsdetexte"/>
      </w:pPr>
      <w:r>
        <w:t xml:space="preserve">Grall, J., Le Loc’h, F., Guyonnet, B. &amp; Riera, P. (2006). </w:t>
      </w:r>
      <w:hyperlink r:id="rId39">
        <w:r>
          <w:rPr>
            <w:rStyle w:val="Lienhypertexte"/>
          </w:rPr>
          <w:t>Community struc</w:t>
        </w:r>
        <w:r>
          <w:rPr>
            <w:rStyle w:val="Lienhypertexte"/>
          </w:rPr>
          <w:t>ture and food web based on stable isotopes (δ15N and δ13C) analysis of a north eastern atlantic maerl bed</w:t>
        </w:r>
      </w:hyperlink>
      <w:r>
        <w:t xml:space="preserve">. </w:t>
      </w:r>
      <w:r>
        <w:rPr>
          <w:i/>
          <w:iCs/>
        </w:rPr>
        <w:t>Journal of Experimental Marine Biology and Ecology</w:t>
      </w:r>
      <w:r>
        <w:t>, 338, 1–15.</w:t>
      </w:r>
    </w:p>
    <w:p w:rsidR="00ED22E3" w:rsidRDefault="00BE0193">
      <w:pPr>
        <w:pStyle w:val="Corpsdetexte"/>
      </w:pPr>
      <w:r>
        <w:t xml:space="preserve">Häkkilä, M., Abrego, N., Ovaskainen, O. &amp; Mönkkönen, M. (2018). </w:t>
      </w:r>
      <w:hyperlink r:id="rId40">
        <w:r>
          <w:rPr>
            <w:rStyle w:val="Lienhypertexte"/>
          </w:rPr>
          <w:t>Habitat quality is more important than matrix quality for bird communities in protected areas</w:t>
        </w:r>
      </w:hyperlink>
      <w:r>
        <w:t xml:space="preserve">. </w:t>
      </w:r>
      <w:r>
        <w:rPr>
          <w:i/>
          <w:iCs/>
        </w:rPr>
        <w:t>Ecology and Evolution</w:t>
      </w:r>
      <w:r>
        <w:t>, 8, 4019–4030.</w:t>
      </w:r>
    </w:p>
    <w:p w:rsidR="00ED22E3" w:rsidRDefault="00BE0193">
      <w:pPr>
        <w:pStyle w:val="Corpsdetexte"/>
      </w:pPr>
      <w:r>
        <w:lastRenderedPageBreak/>
        <w:t xml:space="preserve">Holt, R.D. (2020). </w:t>
      </w:r>
      <w:hyperlink r:id="rId41">
        <w:r>
          <w:rPr>
            <w:rStyle w:val="Lienhypertexte"/>
          </w:rPr>
          <w:t>Some thoughts about the challenge of inferring ecological interactions from spatial data.</w:t>
        </w:r>
      </w:hyperlink>
      <w:r>
        <w:t xml:space="preserve"> </w:t>
      </w:r>
      <w:r>
        <w:rPr>
          <w:i/>
          <w:iCs/>
        </w:rPr>
        <w:t>Biodiversity Informatics</w:t>
      </w:r>
      <w:r>
        <w:t>, 15, 61–66.</w:t>
      </w:r>
    </w:p>
    <w:p w:rsidR="00ED22E3" w:rsidRDefault="00BE0193">
      <w:pPr>
        <w:pStyle w:val="Corpsdetexte"/>
      </w:pPr>
      <w:r>
        <w:t xml:space="preserve">Houlahan, J.E., McKinney, S.T., Anderson, T.M. &amp; McGill, B.J. (2017). </w:t>
      </w:r>
      <w:hyperlink r:id="rId42">
        <w:r>
          <w:rPr>
            <w:rStyle w:val="Lienhypertexte"/>
          </w:rPr>
          <w:t>The pr</w:t>
        </w:r>
        <w:r>
          <w:rPr>
            <w:rStyle w:val="Lienhypertexte"/>
          </w:rPr>
          <w:t>iority of prediction in ecological understanding</w:t>
        </w:r>
      </w:hyperlink>
      <w:r>
        <w:t xml:space="preserve">. </w:t>
      </w:r>
      <w:r>
        <w:rPr>
          <w:i/>
          <w:iCs/>
        </w:rPr>
        <w:t>Oikos</w:t>
      </w:r>
      <w:r>
        <w:t>, 126, 1–7.</w:t>
      </w:r>
    </w:p>
    <w:p w:rsidR="00ED22E3" w:rsidRDefault="00BE0193">
      <w:pPr>
        <w:pStyle w:val="Corpsdetexte"/>
      </w:pPr>
      <w:r>
        <w:t xml:space="preserve">Howard, C., Stephens, P.A., Pearce-Higgins, J.W., Gregory, R.D. &amp; Willis, S.G. (2014). </w:t>
      </w:r>
      <w:hyperlink r:id="rId43">
        <w:r>
          <w:rPr>
            <w:rStyle w:val="Lienhypertexte"/>
          </w:rPr>
          <w:t xml:space="preserve">Improving species distribution models: The </w:t>
        </w:r>
        <w:r>
          <w:rPr>
            <w:rStyle w:val="Lienhypertexte"/>
          </w:rPr>
          <w:t>value of data on abundance</w:t>
        </w:r>
      </w:hyperlink>
      <w:r>
        <w:t xml:space="preserve">. </w:t>
      </w:r>
      <w:r>
        <w:rPr>
          <w:i/>
          <w:iCs/>
        </w:rPr>
        <w:t>Methods in Ecology and Evolution</w:t>
      </w:r>
      <w:r>
        <w:t>, 5, 506–513.</w:t>
      </w:r>
    </w:p>
    <w:p w:rsidR="00ED22E3" w:rsidRDefault="00BE0193">
      <w:pPr>
        <w:pStyle w:val="Corpsdetexte"/>
      </w:pPr>
      <w:r>
        <w:t xml:space="preserve">Hui, F.K.C. (2016). </w:t>
      </w:r>
      <w:hyperlink r:id="rId44">
        <w:r>
          <w:rPr>
            <w:rStyle w:val="Lienhypertexte"/>
          </w:rPr>
          <w:t>Boral – bayesian ordination and regression analysis of multivariate abundance data in r</w:t>
        </w:r>
      </w:hyperlink>
      <w:r>
        <w:t xml:space="preserve">. </w:t>
      </w:r>
      <w:r>
        <w:rPr>
          <w:i/>
          <w:iCs/>
        </w:rPr>
        <w:t>Methods in Ecology and Evolution</w:t>
      </w:r>
      <w:r>
        <w:t>, 7, 744–750.</w:t>
      </w:r>
    </w:p>
    <w:p w:rsidR="00ED22E3" w:rsidRDefault="00BE0193">
      <w:pPr>
        <w:pStyle w:val="Corpsdetexte"/>
      </w:pPr>
      <w:r>
        <w:t xml:space="preserve">IPBES. (2019). </w:t>
      </w:r>
      <w:hyperlink r:id="rId45">
        <w:r>
          <w:rPr>
            <w:rStyle w:val="Lienhypertexte"/>
          </w:rPr>
          <w:t>Global assessment report on biodiversity and ecosystem services of the intergovernmental science-policy platform on biodiversity and ecos</w:t>
        </w:r>
        <w:r>
          <w:rPr>
            <w:rStyle w:val="Lienhypertexte"/>
          </w:rPr>
          <w:t>ystem services</w:t>
        </w:r>
      </w:hyperlink>
      <w:r>
        <w:t>.</w:t>
      </w:r>
    </w:p>
    <w:p w:rsidR="00ED22E3" w:rsidRDefault="00BE0193">
      <w:pPr>
        <w:pStyle w:val="Corpsdetexte"/>
      </w:pPr>
      <w:r>
        <w:t xml:space="preserve">Ives, A.R. &amp; Helmus, M.R. (2011). </w:t>
      </w:r>
      <w:hyperlink r:id="rId46">
        <w:r>
          <w:rPr>
            <w:rStyle w:val="Lienhypertexte"/>
          </w:rPr>
          <w:t>Generalized linear mixed models for phylogenetic analyses of community structure</w:t>
        </w:r>
      </w:hyperlink>
      <w:r>
        <w:t xml:space="preserve">. </w:t>
      </w:r>
      <w:r>
        <w:rPr>
          <w:i/>
          <w:iCs/>
        </w:rPr>
        <w:t>Ecological Monographs</w:t>
      </w:r>
      <w:r>
        <w:t>, 81, 511–525.</w:t>
      </w:r>
    </w:p>
    <w:p w:rsidR="00ED22E3" w:rsidRDefault="00BE0193">
      <w:pPr>
        <w:pStyle w:val="Corpsdetexte"/>
      </w:pPr>
      <w:r>
        <w:t>Jankowska, E., Michel, L.N., Lepoin</w:t>
      </w:r>
      <w:r>
        <w:t xml:space="preserve">t, G. &amp; Włodarska-Kowalczuk, M. (2019). </w:t>
      </w:r>
      <w:hyperlink r:id="rId47">
        <w:r>
          <w:rPr>
            <w:rStyle w:val="Lienhypertexte"/>
          </w:rPr>
          <w:t>Stabilizing effects of seagrass meadows on coastal water benthic food webs</w:t>
        </w:r>
      </w:hyperlink>
      <w:r>
        <w:t xml:space="preserve">. </w:t>
      </w:r>
      <w:r>
        <w:rPr>
          <w:i/>
          <w:iCs/>
        </w:rPr>
        <w:t>Journal of Experimental Marine Biology and Ecology</w:t>
      </w:r>
      <w:r>
        <w:t>, 510, 54–63.</w:t>
      </w:r>
    </w:p>
    <w:p w:rsidR="00ED22E3" w:rsidRDefault="00BE0193">
      <w:pPr>
        <w:pStyle w:val="Corpsdetexte"/>
      </w:pPr>
      <w:r>
        <w:t xml:space="preserve">Juan, S. de, </w:t>
      </w:r>
      <w:r>
        <w:t xml:space="preserve">Bremner, J., Hewitt, J., Törnroos, A., Mangano, M.C., Thrush, S., </w:t>
      </w:r>
      <w:r>
        <w:rPr>
          <w:i/>
          <w:iCs/>
        </w:rPr>
        <w:t>et al.</w:t>
      </w:r>
      <w:r>
        <w:t xml:space="preserve"> (2022). </w:t>
      </w:r>
      <w:hyperlink r:id="rId48">
        <w:r>
          <w:rPr>
            <w:rStyle w:val="Lienhypertexte"/>
          </w:rPr>
          <w:t>Biological traits approaches in benthic marine ecology: Dead ends and new paths</w:t>
        </w:r>
      </w:hyperlink>
      <w:r>
        <w:t xml:space="preserve">. </w:t>
      </w:r>
      <w:r>
        <w:rPr>
          <w:i/>
          <w:iCs/>
        </w:rPr>
        <w:t>Ecology and Evolution</w:t>
      </w:r>
      <w:r>
        <w:t>, 12, e9001.</w:t>
      </w:r>
    </w:p>
    <w:p w:rsidR="00ED22E3" w:rsidRDefault="00BE0193">
      <w:pPr>
        <w:pStyle w:val="Corpsdetexte"/>
      </w:pPr>
      <w:r>
        <w:t>Jumars,</w:t>
      </w:r>
      <w:r>
        <w:t xml:space="preserve"> P.A., Dorgan, K.M. &amp; Lindsay, S.M. (2015). </w:t>
      </w:r>
      <w:hyperlink r:id="rId49">
        <w:r>
          <w:rPr>
            <w:rStyle w:val="Lienhypertexte"/>
          </w:rPr>
          <w:t>Diet of worms emended: An update of polychaete feeding guilds</w:t>
        </w:r>
      </w:hyperlink>
      <w:r>
        <w:t xml:space="preserve">. </w:t>
      </w:r>
      <w:r>
        <w:rPr>
          <w:i/>
          <w:iCs/>
        </w:rPr>
        <w:t>Annual Review of Marine Science</w:t>
      </w:r>
      <w:r>
        <w:t>, 7, 497–520.</w:t>
      </w:r>
    </w:p>
    <w:p w:rsidR="00ED22E3" w:rsidRDefault="00BE0193">
      <w:pPr>
        <w:pStyle w:val="Corpsdetexte"/>
      </w:pPr>
      <w:r>
        <w:t>Keil, P., Wiegand, T., Tóth, A.B</w:t>
      </w:r>
      <w:r>
        <w:t xml:space="preserve">., McGlinn, D.J. &amp; Chase, J.M. (2021). </w:t>
      </w:r>
      <w:hyperlink r:id="rId50">
        <w:r>
          <w:rPr>
            <w:rStyle w:val="Lienhypertexte"/>
          </w:rPr>
          <w:t>Measurement and analysis of interspecific spatial associations as a facet of biodiversity</w:t>
        </w:r>
      </w:hyperlink>
      <w:r>
        <w:t xml:space="preserve">. </w:t>
      </w:r>
      <w:r>
        <w:rPr>
          <w:i/>
          <w:iCs/>
        </w:rPr>
        <w:t>Ecological Monographs</w:t>
      </w:r>
      <w:r>
        <w:t>, n/a.</w:t>
      </w:r>
    </w:p>
    <w:p w:rsidR="00ED22E3" w:rsidRDefault="00BE0193">
      <w:pPr>
        <w:pStyle w:val="Corpsdetexte"/>
      </w:pPr>
      <w:r>
        <w:t xml:space="preserve">König, C., Wüest, R.O., Graham, C.H., Karger, </w:t>
      </w:r>
      <w:r>
        <w:t xml:space="preserve">D.N., Sattler, T., Zimmermann, N.E., </w:t>
      </w:r>
      <w:r>
        <w:rPr>
          <w:i/>
          <w:iCs/>
        </w:rPr>
        <w:t>et al.</w:t>
      </w:r>
      <w:r>
        <w:t xml:space="preserve"> (2021). </w:t>
      </w:r>
      <w:hyperlink r:id="rId51">
        <w:r>
          <w:rPr>
            <w:rStyle w:val="Lienhypertexte"/>
          </w:rPr>
          <w:t>Scale dependency of joint species distribution models challenges interpretation of biotic interactions</w:t>
        </w:r>
      </w:hyperlink>
      <w:r>
        <w:t xml:space="preserve">. </w:t>
      </w:r>
      <w:r>
        <w:rPr>
          <w:i/>
          <w:iCs/>
        </w:rPr>
        <w:t>Journal of Biogeography</w:t>
      </w:r>
      <w:r>
        <w:t>, 48, 1541–1551.</w:t>
      </w:r>
    </w:p>
    <w:p w:rsidR="00ED22E3" w:rsidRDefault="00BE0193">
      <w:pPr>
        <w:pStyle w:val="Corpsdetexte"/>
      </w:pPr>
      <w:r>
        <w:t xml:space="preserve">Levine, J.M., Bascompte, J., Adler, P.B. &amp; Allesina, S. (2017). </w:t>
      </w:r>
      <w:hyperlink r:id="rId52">
        <w:r>
          <w:rPr>
            <w:rStyle w:val="Lienhypertexte"/>
          </w:rPr>
          <w:t>Beyond pairwise mechanisms of species coexistence in complex communities</w:t>
        </w:r>
      </w:hyperlink>
      <w:r>
        <w:t xml:space="preserve">. </w:t>
      </w:r>
      <w:r>
        <w:rPr>
          <w:i/>
          <w:iCs/>
        </w:rPr>
        <w:t>Nature</w:t>
      </w:r>
      <w:r>
        <w:t>, 546, 56–64.</w:t>
      </w:r>
    </w:p>
    <w:p w:rsidR="00ED22E3" w:rsidRDefault="00BE0193">
      <w:pPr>
        <w:pStyle w:val="Corpsdetexte"/>
      </w:pPr>
      <w:r>
        <w:t xml:space="preserve">Magurran, A.E. &amp; Henderson, P.A. (2003). </w:t>
      </w:r>
      <w:hyperlink r:id="rId53">
        <w:r>
          <w:rPr>
            <w:rStyle w:val="Lienhypertexte"/>
          </w:rPr>
          <w:t>Explaining the excess of rare species in natural species abundance distributions</w:t>
        </w:r>
      </w:hyperlink>
      <w:r>
        <w:t xml:space="preserve">. </w:t>
      </w:r>
      <w:r>
        <w:rPr>
          <w:i/>
          <w:iCs/>
        </w:rPr>
        <w:t>Nature</w:t>
      </w:r>
      <w:r>
        <w:t>, 422, 714–716.</w:t>
      </w:r>
    </w:p>
    <w:p w:rsidR="00ED22E3" w:rsidRDefault="00BE0193">
      <w:pPr>
        <w:pStyle w:val="Corpsdetexte"/>
      </w:pPr>
      <w:r>
        <w:t xml:space="preserve">Manning, L.M., Peterson, C.H. &amp; Bishop, M.J. (2014). </w:t>
      </w:r>
      <w:hyperlink r:id="rId54">
        <w:r>
          <w:rPr>
            <w:rStyle w:val="Lienhypertexte"/>
          </w:rPr>
          <w:t>Dominant macrobenthic populations experience sustained impacts from annual disposal of fine sediments on sandy beaches</w:t>
        </w:r>
      </w:hyperlink>
      <w:r>
        <w:t xml:space="preserve">. </w:t>
      </w:r>
      <w:r>
        <w:rPr>
          <w:i/>
          <w:iCs/>
        </w:rPr>
        <w:t>Marine Ecology Progress Series</w:t>
      </w:r>
      <w:r>
        <w:t>, 508, 1–15.</w:t>
      </w:r>
    </w:p>
    <w:p w:rsidR="00ED22E3" w:rsidRDefault="00BE0193">
      <w:pPr>
        <w:pStyle w:val="Corpsdetexte"/>
      </w:pPr>
      <w:r>
        <w:t xml:space="preserve">Minard, G., Tikhonov, G., Ovaskainen, O. &amp; Saastamoinen, M. (2019). </w:t>
      </w:r>
      <w:hyperlink r:id="rId55">
        <w:r>
          <w:rPr>
            <w:rStyle w:val="Lienhypertexte"/>
          </w:rPr>
          <w:t>The microbiome of the melitaea cinxia butterfly shows marked variation but is only little explained by the traits of the butterfly or its host plant</w:t>
        </w:r>
      </w:hyperlink>
      <w:r>
        <w:t xml:space="preserve">. </w:t>
      </w:r>
      <w:r>
        <w:rPr>
          <w:i/>
          <w:iCs/>
        </w:rPr>
        <w:t>Environmental Microbiology</w:t>
      </w:r>
      <w:r>
        <w:t>, 21, 4253–4269.</w:t>
      </w:r>
    </w:p>
    <w:p w:rsidR="00ED22E3" w:rsidRDefault="00BE0193">
      <w:pPr>
        <w:pStyle w:val="Corpsdetexte"/>
      </w:pPr>
      <w:r>
        <w:lastRenderedPageBreak/>
        <w:t>Momal</w:t>
      </w:r>
      <w:r>
        <w:t xml:space="preserve">, R., Robin, S. &amp; Ambroise, C. (2020). </w:t>
      </w:r>
      <w:hyperlink r:id="rId56">
        <w:r>
          <w:rPr>
            <w:rStyle w:val="Lienhypertexte"/>
          </w:rPr>
          <w:t>Tree-based inference of species interaction networks from abundance data</w:t>
        </w:r>
      </w:hyperlink>
      <w:r>
        <w:t xml:space="preserve">. </w:t>
      </w:r>
      <w:r>
        <w:rPr>
          <w:i/>
          <w:iCs/>
        </w:rPr>
        <w:t>Methods in Ecology and Evolution</w:t>
      </w:r>
      <w:r>
        <w:t>, 11, 621–632.</w:t>
      </w:r>
    </w:p>
    <w:p w:rsidR="00ED22E3" w:rsidRDefault="00BE0193">
      <w:pPr>
        <w:pStyle w:val="Corpsdetexte"/>
      </w:pPr>
      <w:r>
        <w:t>Momal, R., Robin, S. &amp; Ambroise, C. (</w:t>
      </w:r>
      <w:r>
        <w:t xml:space="preserve">2021). </w:t>
      </w:r>
      <w:hyperlink r:id="rId57">
        <w:r>
          <w:rPr>
            <w:rStyle w:val="Lienhypertexte"/>
          </w:rPr>
          <w:t>Accounting for missing actors in interaction network inference from abundance data</w:t>
        </w:r>
      </w:hyperlink>
      <w:r>
        <w:t xml:space="preserve">. </w:t>
      </w:r>
      <w:r>
        <w:rPr>
          <w:i/>
          <w:iCs/>
        </w:rPr>
        <w:t>Journal of the Royal Statistical Society: Series C (Applied Statistics)</w:t>
      </w:r>
      <w:r>
        <w:t>, 70, 1230–1258.</w:t>
      </w:r>
    </w:p>
    <w:p w:rsidR="00ED22E3" w:rsidRDefault="00BE0193">
      <w:pPr>
        <w:pStyle w:val="Corpsdetexte"/>
      </w:pPr>
      <w:r>
        <w:t>Morales-Castilla, I., D</w:t>
      </w:r>
      <w:r>
        <w:t xml:space="preserve">avies, T.J., Pearse, W.D. &amp; Peres-Neto, P. (2017). </w:t>
      </w:r>
      <w:hyperlink r:id="rId58">
        <w:r>
          <w:rPr>
            <w:rStyle w:val="Lienhypertexte"/>
          </w:rPr>
          <w:t>Combining phylogeny and co-occurrence to improve single species distribution models</w:t>
        </w:r>
      </w:hyperlink>
      <w:r>
        <w:t xml:space="preserve">. </w:t>
      </w:r>
      <w:r>
        <w:rPr>
          <w:i/>
          <w:iCs/>
        </w:rPr>
        <w:t>Global Ecology and Biogeography</w:t>
      </w:r>
      <w:r>
        <w:t>, 26, 740–752.</w:t>
      </w:r>
    </w:p>
    <w:p w:rsidR="00ED22E3" w:rsidRDefault="00BE0193">
      <w:pPr>
        <w:pStyle w:val="Corpsdetexte"/>
      </w:pPr>
      <w:r>
        <w:t>Niku, J., Hui, F.K.C.</w:t>
      </w:r>
      <w:r>
        <w:t xml:space="preserve">, Taskinen, S. &amp; Warton, D.I. (2019). </w:t>
      </w:r>
      <w:hyperlink r:id="rId59">
        <w:r>
          <w:rPr>
            <w:rStyle w:val="Lienhypertexte"/>
          </w:rPr>
          <w:t>Gllvm: Fast analysis of multivariate abundance data with generalized linear latent variable models in r</w:t>
        </w:r>
      </w:hyperlink>
      <w:r>
        <w:t xml:space="preserve">. </w:t>
      </w:r>
      <w:r>
        <w:rPr>
          <w:i/>
          <w:iCs/>
        </w:rPr>
        <w:t>Methods in Ecology and Evolution</w:t>
      </w:r>
      <w:r>
        <w:t>.</w:t>
      </w:r>
    </w:p>
    <w:p w:rsidR="00ED22E3" w:rsidRDefault="00BE0193">
      <w:pPr>
        <w:pStyle w:val="Corpsdetexte"/>
      </w:pPr>
      <w:r>
        <w:t>Norberg, A., Abrego,</w:t>
      </w:r>
      <w:r>
        <w:t xml:space="preserve"> N., Blanchet, F.G., Adler, F.R., Anderson, B.J., Anttila, J., </w:t>
      </w:r>
      <w:r>
        <w:rPr>
          <w:i/>
          <w:iCs/>
        </w:rPr>
        <w:t>et al.</w:t>
      </w:r>
      <w:r>
        <w:t xml:space="preserve"> (2019). </w:t>
      </w:r>
      <w:hyperlink r:id="rId60">
        <w:r>
          <w:rPr>
            <w:rStyle w:val="Lienhypertexte"/>
          </w:rPr>
          <w:t>A comprehensive evaluation of predictive performance of 33 species distribution models at species and community levels</w:t>
        </w:r>
      </w:hyperlink>
      <w:r>
        <w:t xml:space="preserve">. </w:t>
      </w:r>
      <w:r>
        <w:rPr>
          <w:i/>
          <w:iCs/>
        </w:rPr>
        <w:t>Ecolog</w:t>
      </w:r>
      <w:r>
        <w:rPr>
          <w:i/>
          <w:iCs/>
        </w:rPr>
        <w:t>ical Monographs</w:t>
      </w:r>
      <w:r>
        <w:t>, e01370.</w:t>
      </w:r>
    </w:p>
    <w:p w:rsidR="00ED22E3" w:rsidRDefault="00BE0193">
      <w:pPr>
        <w:pStyle w:val="Corpsdetexte"/>
      </w:pPr>
      <w:r>
        <w:t xml:space="preserve">Ovaskainen, O. &amp; Abrego, N. (2020). </w:t>
      </w:r>
      <w:r>
        <w:rPr>
          <w:i/>
          <w:iCs/>
        </w:rPr>
        <w:t>Joint species distribution modelling: With applications in r</w:t>
      </w:r>
      <w:r>
        <w:t>. Ecology, biodiversity and conservation. Cambridge University Press.</w:t>
      </w:r>
    </w:p>
    <w:p w:rsidR="00ED22E3" w:rsidRDefault="00BE0193">
      <w:pPr>
        <w:pStyle w:val="Corpsdetexte"/>
      </w:pPr>
      <w:r>
        <w:t xml:space="preserve">Ovaskainen, O., Tikhonov, G., Dunson, D., Grøtan, V., Engen, S., Sæther, B.-E., </w:t>
      </w:r>
      <w:r>
        <w:rPr>
          <w:i/>
          <w:iCs/>
        </w:rPr>
        <w:t>et al.</w:t>
      </w:r>
      <w:r>
        <w:t xml:space="preserve"> (2017a). </w:t>
      </w:r>
      <w:hyperlink r:id="rId61">
        <w:r>
          <w:rPr>
            <w:rStyle w:val="Lienhypertexte"/>
          </w:rPr>
          <w:t>How are species interactions structured in species-rich communities? A new method for analysing time-s</w:t>
        </w:r>
        <w:r>
          <w:rPr>
            <w:rStyle w:val="Lienhypertexte"/>
          </w:rPr>
          <w:t>eries data</w:t>
        </w:r>
      </w:hyperlink>
      <w:r>
        <w:t xml:space="preserve">. </w:t>
      </w:r>
      <w:r>
        <w:rPr>
          <w:i/>
          <w:iCs/>
        </w:rPr>
        <w:t>Proceedings of the Royal Society B: Biological Sciences</w:t>
      </w:r>
      <w:r>
        <w:t>, 284, 20170768.</w:t>
      </w:r>
    </w:p>
    <w:p w:rsidR="00ED22E3" w:rsidRDefault="00BE0193">
      <w:pPr>
        <w:pStyle w:val="Corpsdetexte"/>
      </w:pPr>
      <w:r>
        <w:t xml:space="preserve">Ovaskainen, O., Tikhonov, G., Norberg, A., Guillaume Blanchet, F., Duan, L., Dunson, D., </w:t>
      </w:r>
      <w:r>
        <w:rPr>
          <w:i/>
          <w:iCs/>
        </w:rPr>
        <w:t>et al.</w:t>
      </w:r>
      <w:r>
        <w:t xml:space="preserve"> (2017b). </w:t>
      </w:r>
      <w:hyperlink r:id="rId62">
        <w:r>
          <w:rPr>
            <w:rStyle w:val="Lienhypertexte"/>
          </w:rPr>
          <w:t>How to make mo</w:t>
        </w:r>
        <w:r>
          <w:rPr>
            <w:rStyle w:val="Lienhypertexte"/>
          </w:rPr>
          <w:t>re out of community data? A conceptual framework and its implementation as models and software</w:t>
        </w:r>
      </w:hyperlink>
      <w:r>
        <w:t xml:space="preserve">. </w:t>
      </w:r>
      <w:r>
        <w:rPr>
          <w:i/>
          <w:iCs/>
        </w:rPr>
        <w:t>Ecology Letters</w:t>
      </w:r>
      <w:r>
        <w:t>, 20, 561–576.</w:t>
      </w:r>
    </w:p>
    <w:p w:rsidR="00ED22E3" w:rsidRDefault="00BE0193">
      <w:pPr>
        <w:pStyle w:val="Corpsdetexte"/>
      </w:pPr>
      <w:r>
        <w:t xml:space="preserve">Paradis, E. &amp; Schliep, K. (2019). </w:t>
      </w:r>
      <w:hyperlink r:id="rId63">
        <w:r>
          <w:rPr>
            <w:rStyle w:val="Lienhypertexte"/>
          </w:rPr>
          <w:t>Ape 5.0: An environment for mod</w:t>
        </w:r>
        <w:r>
          <w:rPr>
            <w:rStyle w:val="Lienhypertexte"/>
          </w:rPr>
          <w:t>ern phylogenetics and evolutionary analyses in r</w:t>
        </w:r>
      </w:hyperlink>
      <w:r>
        <w:t xml:space="preserve">. </w:t>
      </w:r>
      <w:r>
        <w:rPr>
          <w:i/>
          <w:iCs/>
        </w:rPr>
        <w:t>Bioinformatics</w:t>
      </w:r>
      <w:r>
        <w:t>, 35, 526–528.</w:t>
      </w:r>
    </w:p>
    <w:p w:rsidR="00ED22E3" w:rsidRDefault="00BE0193">
      <w:pPr>
        <w:pStyle w:val="Corpsdetexte"/>
      </w:pPr>
      <w:r>
        <w:t xml:space="preserve">Pichler, M. &amp; Hartig, F. (2021). </w:t>
      </w:r>
      <w:hyperlink r:id="rId64">
        <w:r>
          <w:rPr>
            <w:rStyle w:val="Lienhypertexte"/>
          </w:rPr>
          <w:t>A new joint species distribution model for faster and more accurate inference of spec</w:t>
        </w:r>
        <w:r>
          <w:rPr>
            <w:rStyle w:val="Lienhypertexte"/>
          </w:rPr>
          <w:t>ies associations from big community data</w:t>
        </w:r>
      </w:hyperlink>
      <w:r>
        <w:t xml:space="preserve">. </w:t>
      </w:r>
      <w:r>
        <w:rPr>
          <w:i/>
          <w:iCs/>
        </w:rPr>
        <w:t>Methods in Ecology and Evolution</w:t>
      </w:r>
      <w:r>
        <w:t>, 12, 2159–2173.</w:t>
      </w:r>
    </w:p>
    <w:p w:rsidR="00ED22E3" w:rsidRDefault="00BE0193">
      <w:pPr>
        <w:pStyle w:val="Corpsdetexte"/>
      </w:pPr>
      <w:r>
        <w:t xml:space="preserve">Poggiato, G., Münkemüller, T., Bystrova, D., Arbel, J., Clark, J.S. &amp; Thuiller, W. (2021). </w:t>
      </w:r>
      <w:hyperlink r:id="rId65">
        <w:r>
          <w:rPr>
            <w:rStyle w:val="Lienhypertexte"/>
          </w:rPr>
          <w:t>On the inter</w:t>
        </w:r>
        <w:r>
          <w:rPr>
            <w:rStyle w:val="Lienhypertexte"/>
          </w:rPr>
          <w:t>pretations of joint modeling in community ecology</w:t>
        </w:r>
      </w:hyperlink>
      <w:r>
        <w:t xml:space="preserve">. </w:t>
      </w:r>
      <w:r>
        <w:rPr>
          <w:i/>
          <w:iCs/>
        </w:rPr>
        <w:t>Trends in Ecology &amp; Evolution</w:t>
      </w:r>
      <w:r>
        <w:t>.</w:t>
      </w:r>
    </w:p>
    <w:p w:rsidR="00ED22E3" w:rsidRDefault="00BE0193">
      <w:pPr>
        <w:pStyle w:val="Corpsdetexte"/>
      </w:pPr>
      <w:r>
        <w:t xml:space="preserve">Pollock, L.J., Morris, W.K. &amp; Vesk, P.A. (2012). </w:t>
      </w:r>
      <w:hyperlink r:id="rId66">
        <w:r>
          <w:rPr>
            <w:rStyle w:val="Lienhypertexte"/>
          </w:rPr>
          <w:t>The role of functional traits in species distributions re</w:t>
        </w:r>
        <w:r>
          <w:rPr>
            <w:rStyle w:val="Lienhypertexte"/>
          </w:rPr>
          <w:t>vealed through a hierarchical model</w:t>
        </w:r>
      </w:hyperlink>
      <w:r>
        <w:t xml:space="preserve">. </w:t>
      </w:r>
      <w:r>
        <w:rPr>
          <w:i/>
          <w:iCs/>
        </w:rPr>
        <w:t>Ecography</w:t>
      </w:r>
      <w:r>
        <w:t>, 35, 716–725.</w:t>
      </w:r>
    </w:p>
    <w:p w:rsidR="00ED22E3" w:rsidRDefault="00BE0193">
      <w:pPr>
        <w:pStyle w:val="Corpsdetexte"/>
      </w:pPr>
      <w:r>
        <w:t xml:space="preserve">Pollock, L.J., O’Connor, L.M.J., Mokany, K., Rosauer, D.F., Talluto, M.V. &amp; Thuiller, W. (2020). </w:t>
      </w:r>
      <w:hyperlink r:id="rId67">
        <w:r>
          <w:rPr>
            <w:rStyle w:val="Lienhypertexte"/>
          </w:rPr>
          <w:t xml:space="preserve">Protecting biodiversity (in all its </w:t>
        </w:r>
        <w:r>
          <w:rPr>
            <w:rStyle w:val="Lienhypertexte"/>
          </w:rPr>
          <w:t>complexity): New models and methods</w:t>
        </w:r>
      </w:hyperlink>
      <w:r>
        <w:t xml:space="preserve">. </w:t>
      </w:r>
      <w:r>
        <w:rPr>
          <w:i/>
          <w:iCs/>
        </w:rPr>
        <w:t>Trends in Ecology &amp; Evolution</w:t>
      </w:r>
      <w:r>
        <w:t>, 35, 1119–1128.</w:t>
      </w:r>
    </w:p>
    <w:p w:rsidR="00ED22E3" w:rsidRDefault="00BE0193">
      <w:pPr>
        <w:pStyle w:val="Corpsdetexte"/>
      </w:pPr>
      <w:r>
        <w:lastRenderedPageBreak/>
        <w:t xml:space="preserve">Pollock, L.J., Tingley, R., Morris, W.K., Golding, N., O’Hara, R.B., Parris, K.M., </w:t>
      </w:r>
      <w:r>
        <w:rPr>
          <w:i/>
          <w:iCs/>
        </w:rPr>
        <w:t>et al.</w:t>
      </w:r>
      <w:r>
        <w:t xml:space="preserve"> (2014). </w:t>
      </w:r>
      <w:hyperlink r:id="rId68">
        <w:r>
          <w:rPr>
            <w:rStyle w:val="Lienhypertexte"/>
          </w:rPr>
          <w:t>Understanding co</w:t>
        </w:r>
        <w:r>
          <w:rPr>
            <w:rStyle w:val="Lienhypertexte"/>
          </w:rPr>
          <w:t>-occurrence by modelling species simultaneously with a joint species distribution model (jsdm)</w:t>
        </w:r>
      </w:hyperlink>
      <w:r>
        <w:t xml:space="preserve">. </w:t>
      </w:r>
      <w:r>
        <w:rPr>
          <w:i/>
          <w:iCs/>
        </w:rPr>
        <w:t>Methods in Ecology and Evolution</w:t>
      </w:r>
      <w:r>
        <w:t>, 5, 397–406.</w:t>
      </w:r>
    </w:p>
    <w:p w:rsidR="00ED22E3" w:rsidRDefault="00BE0193">
      <w:pPr>
        <w:pStyle w:val="Corpsdetexte"/>
      </w:pPr>
      <w:r>
        <w:t xml:space="preserve">Popovic, G.C., Hui, F.K.C. &amp; Warton, D.I. (2022). </w:t>
      </w:r>
      <w:hyperlink r:id="rId69">
        <w:r>
          <w:rPr>
            <w:rStyle w:val="Lienhypertexte"/>
          </w:rPr>
          <w:t xml:space="preserve">Fast </w:t>
        </w:r>
        <w:r>
          <w:rPr>
            <w:rStyle w:val="Lienhypertexte"/>
          </w:rPr>
          <w:t>model-based ordination with copulas</w:t>
        </w:r>
      </w:hyperlink>
      <w:r>
        <w:t xml:space="preserve">. </w:t>
      </w:r>
      <w:r>
        <w:rPr>
          <w:i/>
          <w:iCs/>
        </w:rPr>
        <w:t>Methods in Ecology and Evolution</w:t>
      </w:r>
      <w:r>
        <w:t>, 13, 194–202.</w:t>
      </w:r>
    </w:p>
    <w:p w:rsidR="00ED22E3" w:rsidRDefault="00BE0193">
      <w:pPr>
        <w:pStyle w:val="Corpsdetexte"/>
      </w:pPr>
      <w:r>
        <w:t xml:space="preserve">Potter, K.A., Arthur Woods, H. &amp; Pincebourde, S. (2013). </w:t>
      </w:r>
      <w:hyperlink r:id="rId70">
        <w:r>
          <w:rPr>
            <w:rStyle w:val="Lienhypertexte"/>
          </w:rPr>
          <w:t>Microclimatic challenges in global change biology</w:t>
        </w:r>
      </w:hyperlink>
      <w:r>
        <w:t xml:space="preserve">. </w:t>
      </w:r>
      <w:r>
        <w:rPr>
          <w:i/>
          <w:iCs/>
        </w:rPr>
        <w:t>Global Chan</w:t>
      </w:r>
      <w:r>
        <w:rPr>
          <w:i/>
          <w:iCs/>
        </w:rPr>
        <w:t>ge Biology</w:t>
      </w:r>
      <w:r>
        <w:t>, 19, 2932–2939.</w:t>
      </w:r>
    </w:p>
    <w:p w:rsidR="00ED22E3" w:rsidRDefault="00BE0193">
      <w:pPr>
        <w:pStyle w:val="Corpsdetexte"/>
      </w:pPr>
      <w:r>
        <w:t xml:space="preserve">Ricotta, C., Bacaro, G., Marignani, M., Godefroid, S. &amp; Mazzoleni, S. (2012). </w:t>
      </w:r>
      <w:hyperlink r:id="rId71">
        <w:r>
          <w:rPr>
            <w:rStyle w:val="Lienhypertexte"/>
          </w:rPr>
          <w:t>Computing diversity from dated phylogenies and taxonomic hierarchies: Does it make a difference to the conclusions?</w:t>
        </w:r>
      </w:hyperlink>
      <w:r>
        <w:t xml:space="preserve"> </w:t>
      </w:r>
      <w:r>
        <w:rPr>
          <w:i/>
          <w:iCs/>
        </w:rPr>
        <w:t>Oecologia</w:t>
      </w:r>
      <w:r>
        <w:t>, 170, 501–506.</w:t>
      </w:r>
    </w:p>
    <w:p w:rsidR="00ED22E3" w:rsidRDefault="00BE0193">
      <w:pPr>
        <w:pStyle w:val="Corpsdetexte"/>
      </w:pPr>
      <w:r>
        <w:t xml:space="preserve">Rigal, S., Devictor, V. &amp; Dakos, V. (2020). </w:t>
      </w:r>
      <w:hyperlink r:id="rId72">
        <w:r>
          <w:rPr>
            <w:rStyle w:val="Lienhypertexte"/>
          </w:rPr>
          <w:t>A method for classifying and comparing non-linear trajectories of ecological variables</w:t>
        </w:r>
      </w:hyperlink>
      <w:r>
        <w:t xml:space="preserve">. </w:t>
      </w:r>
      <w:r>
        <w:rPr>
          <w:i/>
          <w:iCs/>
        </w:rPr>
        <w:t>Ecological Indicators</w:t>
      </w:r>
      <w:r>
        <w:t>, 112, 106113.</w:t>
      </w:r>
    </w:p>
    <w:p w:rsidR="00ED22E3" w:rsidRDefault="00BE0193">
      <w:pPr>
        <w:pStyle w:val="Corpsdetexte"/>
      </w:pPr>
      <w:r>
        <w:t xml:space="preserve">Rocha, R., Ovaskainen, O., López-Baucells, A., Farneda, F.Z., Ferreira, D.F., Bobrowiec, P.E.D., </w:t>
      </w:r>
      <w:r>
        <w:rPr>
          <w:i/>
          <w:iCs/>
        </w:rPr>
        <w:t>et al.</w:t>
      </w:r>
      <w:r>
        <w:t xml:space="preserve"> (2017). </w:t>
      </w:r>
      <w:hyperlink r:id="rId73">
        <w:r>
          <w:rPr>
            <w:rStyle w:val="Lienhypertexte"/>
          </w:rPr>
          <w:t>Design matters: An evaluation of the impact of small man-made forest clearings on tropical bats using a before-after-control-impact design</w:t>
        </w:r>
      </w:hyperlink>
      <w:r>
        <w:t xml:space="preserve">. </w:t>
      </w:r>
      <w:r>
        <w:rPr>
          <w:i/>
          <w:iCs/>
        </w:rPr>
        <w:t>Forest Ecology and Management</w:t>
      </w:r>
      <w:r>
        <w:t>, 401, 8–16.</w:t>
      </w:r>
    </w:p>
    <w:p w:rsidR="00ED22E3" w:rsidRDefault="00BE0193">
      <w:pPr>
        <w:pStyle w:val="Corpsdetexte"/>
      </w:pPr>
      <w:r>
        <w:t xml:space="preserve">Sander, E.L., Wootton, J.T. &amp; </w:t>
      </w:r>
      <w:r>
        <w:t xml:space="preserve">Allesina, S. (2017). </w:t>
      </w:r>
      <w:hyperlink r:id="rId74">
        <w:r>
          <w:rPr>
            <w:rStyle w:val="Lienhypertexte"/>
          </w:rPr>
          <w:t>Ecological network inference from long-term presence-absence data</w:t>
        </w:r>
      </w:hyperlink>
      <w:r>
        <w:t xml:space="preserve">. </w:t>
      </w:r>
      <w:r>
        <w:rPr>
          <w:i/>
          <w:iCs/>
        </w:rPr>
        <w:t>Scientific Reports</w:t>
      </w:r>
      <w:r>
        <w:t>, 7.</w:t>
      </w:r>
    </w:p>
    <w:p w:rsidR="00ED22E3" w:rsidRDefault="00BE0193">
      <w:pPr>
        <w:pStyle w:val="Corpsdetexte"/>
      </w:pPr>
      <w:r>
        <w:t xml:space="preserve">Snell Taylor, S.J., Evans, B.S., White, E.P. &amp; Hurlbert, A.H. (2018). </w:t>
      </w:r>
      <w:hyperlink r:id="rId75">
        <w:r>
          <w:rPr>
            <w:rStyle w:val="Lienhypertexte"/>
          </w:rPr>
          <w:t>The prevalence and impact of transient species in ecological communities</w:t>
        </w:r>
      </w:hyperlink>
      <w:r>
        <w:t xml:space="preserve">. </w:t>
      </w:r>
      <w:r>
        <w:rPr>
          <w:i/>
          <w:iCs/>
        </w:rPr>
        <w:t>Ecology</w:t>
      </w:r>
      <w:r>
        <w:t>, 99, 1825–1835.</w:t>
      </w:r>
    </w:p>
    <w:p w:rsidR="00ED22E3" w:rsidRDefault="00BE0193">
      <w:pPr>
        <w:pStyle w:val="Corpsdetexte"/>
      </w:pPr>
      <w:r>
        <w:t xml:space="preserve">Staniczenko, P.P.A., Sivasubramaniam, P., Suttle, K.B. &amp; Pearson, R.G. (2017). </w:t>
      </w:r>
      <w:hyperlink r:id="rId76">
        <w:r>
          <w:rPr>
            <w:rStyle w:val="Lienhypertexte"/>
          </w:rPr>
          <w:t>Linking macroecology and community ecology: Refining predictions of species distributions using biotic interaction networks</w:t>
        </w:r>
      </w:hyperlink>
      <w:r>
        <w:t xml:space="preserve">. </w:t>
      </w:r>
      <w:r>
        <w:rPr>
          <w:i/>
          <w:iCs/>
        </w:rPr>
        <w:t>Ecology Letters</w:t>
      </w:r>
      <w:r>
        <w:t>, 20, 693–707.</w:t>
      </w:r>
    </w:p>
    <w:p w:rsidR="00ED22E3" w:rsidRDefault="00BE0193">
      <w:pPr>
        <w:pStyle w:val="Corpsdetexte"/>
      </w:pPr>
      <w:r>
        <w:t>Stroud, J.T., Bush, M.R., Ladd, M.C., Nowicki, R.J., Shantz, A.A. &amp; Sweatman, J. (2015).</w:t>
      </w:r>
      <w:r>
        <w:t xml:space="preserve"> </w:t>
      </w:r>
      <w:hyperlink r:id="rId77">
        <w:r>
          <w:rPr>
            <w:rStyle w:val="Lienhypertexte"/>
          </w:rPr>
          <w:t>Is a community still a community? Reviewing definitions of key terms in community ecology</w:t>
        </w:r>
      </w:hyperlink>
      <w:r>
        <w:t xml:space="preserve">. </w:t>
      </w:r>
      <w:r>
        <w:rPr>
          <w:i/>
          <w:iCs/>
        </w:rPr>
        <w:t>Ecology and Evolution</w:t>
      </w:r>
      <w:r>
        <w:t>, 5, 4757–4765.</w:t>
      </w:r>
    </w:p>
    <w:p w:rsidR="00ED22E3" w:rsidRDefault="00BE0193">
      <w:pPr>
        <w:pStyle w:val="Corpsdetexte"/>
      </w:pPr>
      <w:r>
        <w:t>Thioulouse, J., Dray, S., Dufour, A., Siberchicot, A., Jombart, T. &amp; Pavoi</w:t>
      </w:r>
      <w:r>
        <w:t xml:space="preserve">ne, S. (2018). </w:t>
      </w:r>
      <w:hyperlink r:id="rId78">
        <w:r>
          <w:rPr>
            <w:rStyle w:val="Lienhypertexte"/>
            <w:i/>
            <w:iCs/>
          </w:rPr>
          <w:t>Multivariate analysis of ecological data with ade4</w:t>
        </w:r>
      </w:hyperlink>
      <w:r>
        <w:t>. Springer.</w:t>
      </w:r>
    </w:p>
    <w:p w:rsidR="00ED22E3" w:rsidRDefault="00BE0193">
      <w:pPr>
        <w:pStyle w:val="Corpsdetexte"/>
      </w:pPr>
      <w:r>
        <w:t xml:space="preserve">Tikhonov, G., Opedal, O., Abrego, N., Lehikoinen, A. &amp; Ovaskainen, O. (2019). </w:t>
      </w:r>
      <w:hyperlink r:id="rId79">
        <w:r>
          <w:rPr>
            <w:rStyle w:val="Lienhypertexte"/>
          </w:rPr>
          <w:t>Joint species distribution modelling with hmsc-r</w:t>
        </w:r>
      </w:hyperlink>
      <w:r>
        <w:t xml:space="preserve">. </w:t>
      </w:r>
      <w:r>
        <w:rPr>
          <w:i/>
          <w:iCs/>
        </w:rPr>
        <w:t>bioRxiv</w:t>
      </w:r>
      <w:r>
        <w:t>.</w:t>
      </w:r>
    </w:p>
    <w:p w:rsidR="00ED22E3" w:rsidRDefault="00BE0193">
      <w:pPr>
        <w:pStyle w:val="Corpsdetexte"/>
      </w:pPr>
      <w:r>
        <w:t xml:space="preserve">Toumi Chirine, G.J., De Cáceres Miquel. (n.d.). Long-term coastal macrobenthic community trajectory analysis reveals habitat-dependent stability patterns. </w:t>
      </w:r>
      <w:r>
        <w:rPr>
          <w:i/>
          <w:iCs/>
        </w:rPr>
        <w:t>Ecography</w:t>
      </w:r>
      <w:r>
        <w:t>.</w:t>
      </w:r>
    </w:p>
    <w:p w:rsidR="00ED22E3" w:rsidRDefault="00BE0193">
      <w:pPr>
        <w:pStyle w:val="Corpsdetexte"/>
      </w:pPr>
      <w:r>
        <w:t>Tredennick, A.T., Hoo</w:t>
      </w:r>
      <w:r>
        <w:t xml:space="preserve">ker, G., Ellner, S.P. &amp; Adler, P.B. (2021). </w:t>
      </w:r>
      <w:hyperlink r:id="rId80">
        <w:r>
          <w:rPr>
            <w:rStyle w:val="Lienhypertexte"/>
          </w:rPr>
          <w:t>A practical guide to selecting models for exploration, inference, and prediction in ecology</w:t>
        </w:r>
      </w:hyperlink>
      <w:r>
        <w:t xml:space="preserve">. </w:t>
      </w:r>
      <w:r>
        <w:rPr>
          <w:i/>
          <w:iCs/>
        </w:rPr>
        <w:t>Ecology</w:t>
      </w:r>
      <w:r>
        <w:t>, 102, e03336.</w:t>
      </w:r>
    </w:p>
    <w:p w:rsidR="00ED22E3" w:rsidRDefault="00BE0193">
      <w:pPr>
        <w:pStyle w:val="Corpsdetexte"/>
      </w:pPr>
      <w:r>
        <w:t xml:space="preserve">Troudet, J., Grandcolas, P., Blin, A., Vignes-Lebbe, R. &amp; Legendre, F. (2017). </w:t>
      </w:r>
      <w:hyperlink r:id="rId81">
        <w:r>
          <w:rPr>
            <w:rStyle w:val="Lienhypertexte"/>
          </w:rPr>
          <w:t>Taxonomic bias in biodiversity data and societal preferences</w:t>
        </w:r>
      </w:hyperlink>
      <w:r>
        <w:t xml:space="preserve">. </w:t>
      </w:r>
      <w:r>
        <w:rPr>
          <w:i/>
          <w:iCs/>
        </w:rPr>
        <w:t>Scientific Reports</w:t>
      </w:r>
      <w:r>
        <w:t>, 7.</w:t>
      </w:r>
    </w:p>
    <w:p w:rsidR="00ED22E3" w:rsidRDefault="00BE0193">
      <w:pPr>
        <w:pStyle w:val="Corpsdetexte"/>
      </w:pPr>
      <w:r>
        <w:lastRenderedPageBreak/>
        <w:t>Tyler, E.H.M., Somerfield, P.J</w:t>
      </w:r>
      <w:r>
        <w:t xml:space="preserve">., Berghe, E.V., Bremner, J., Jackson, E., Langmead, O., </w:t>
      </w:r>
      <w:r>
        <w:rPr>
          <w:i/>
          <w:iCs/>
        </w:rPr>
        <w:t>et al.</w:t>
      </w:r>
      <w:r>
        <w:t xml:space="preserve"> (2012). </w:t>
      </w:r>
      <w:hyperlink r:id="rId82">
        <w:r>
          <w:rPr>
            <w:rStyle w:val="Lienhypertexte"/>
          </w:rPr>
          <w:t>Extensive gaps and biases in our knowledge of a well-known fauna: Implications for integrating biological traits int</w:t>
        </w:r>
        <w:r>
          <w:rPr>
            <w:rStyle w:val="Lienhypertexte"/>
          </w:rPr>
          <w:t>o macroecology</w:t>
        </w:r>
      </w:hyperlink>
      <w:r>
        <w:t xml:space="preserve">. </w:t>
      </w:r>
      <w:r>
        <w:rPr>
          <w:i/>
          <w:iCs/>
        </w:rPr>
        <w:t>Global Ecology and Biogeography</w:t>
      </w:r>
      <w:r>
        <w:t>, 21, 922–934.</w:t>
      </w:r>
    </w:p>
    <w:p w:rsidR="00ED22E3" w:rsidRDefault="00BE0193">
      <w:pPr>
        <w:pStyle w:val="Corpsdetexte"/>
      </w:pPr>
      <w:r>
        <w:t xml:space="preserve">Vesk, P.A., Morris, W.K., Neal, W.C., Mokany, K. &amp; Pollock, L.J. (2021). </w:t>
      </w:r>
      <w:hyperlink r:id="rId83">
        <w:r>
          <w:rPr>
            <w:rStyle w:val="Lienhypertexte"/>
          </w:rPr>
          <w:t>Transferability of trait-based species distribution models</w:t>
        </w:r>
      </w:hyperlink>
      <w:r>
        <w:t xml:space="preserve">. </w:t>
      </w:r>
      <w:r>
        <w:rPr>
          <w:i/>
          <w:iCs/>
        </w:rPr>
        <w:t>Ecograp</w:t>
      </w:r>
      <w:r>
        <w:rPr>
          <w:i/>
          <w:iCs/>
        </w:rPr>
        <w:t>hy</w:t>
      </w:r>
      <w:r>
        <w:t>, 44, 134–147.</w:t>
      </w:r>
    </w:p>
    <w:p w:rsidR="00ED22E3" w:rsidRDefault="00BE0193">
      <w:pPr>
        <w:pStyle w:val="Corpsdetexte"/>
      </w:pPr>
      <w:r>
        <w:t xml:space="preserve">Violle, C., Enquist, B.J., McGill, B.J., Jiang, L., Albert, C.H., Hulshof, C., </w:t>
      </w:r>
      <w:r>
        <w:rPr>
          <w:i/>
          <w:iCs/>
        </w:rPr>
        <w:t>et al.</w:t>
      </w:r>
      <w:r>
        <w:t xml:space="preserve"> (2012). </w:t>
      </w:r>
      <w:hyperlink r:id="rId84">
        <w:r>
          <w:rPr>
            <w:rStyle w:val="Lienhypertexte"/>
          </w:rPr>
          <w:t>The return of the variance: Intraspecific variability in community ecology</w:t>
        </w:r>
      </w:hyperlink>
      <w:r>
        <w:t xml:space="preserve">. </w:t>
      </w:r>
      <w:r>
        <w:rPr>
          <w:i/>
          <w:iCs/>
        </w:rPr>
        <w:t xml:space="preserve">Trends </w:t>
      </w:r>
      <w:r>
        <w:rPr>
          <w:i/>
          <w:iCs/>
        </w:rPr>
        <w:t>in Ecology &amp; Evolution</w:t>
      </w:r>
      <w:r>
        <w:t>, 27, 244–252.</w:t>
      </w:r>
    </w:p>
    <w:p w:rsidR="00ED22E3" w:rsidRDefault="00BE0193">
      <w:pPr>
        <w:pStyle w:val="Corpsdetexte"/>
      </w:pPr>
      <w:r>
        <w:t xml:space="preserve">Waldock, C., Stuart-Smith, R.D., Albouy, C., Cheung, W.W.L., Edgar, G.J., Mouillot, D., </w:t>
      </w:r>
      <w:r>
        <w:rPr>
          <w:i/>
          <w:iCs/>
        </w:rPr>
        <w:t>et al.</w:t>
      </w:r>
      <w:r>
        <w:t xml:space="preserve"> (2022). </w:t>
      </w:r>
      <w:hyperlink r:id="rId85">
        <w:r>
          <w:rPr>
            <w:rStyle w:val="Lienhypertexte"/>
          </w:rPr>
          <w:t xml:space="preserve">A quantitative review of abundance-based species distribution </w:t>
        </w:r>
        <w:r>
          <w:rPr>
            <w:rStyle w:val="Lienhypertexte"/>
          </w:rPr>
          <w:t>models</w:t>
        </w:r>
      </w:hyperlink>
      <w:r>
        <w:t xml:space="preserve">. </w:t>
      </w:r>
      <w:r>
        <w:rPr>
          <w:i/>
          <w:iCs/>
        </w:rPr>
        <w:t>Ecography</w:t>
      </w:r>
      <w:r>
        <w:t>, 2022.</w:t>
      </w:r>
    </w:p>
    <w:p w:rsidR="00ED22E3" w:rsidRDefault="00BE0193">
      <w:pPr>
        <w:pStyle w:val="Corpsdetexte"/>
      </w:pPr>
      <w:r>
        <w:t xml:space="preserve">Warton, D.I., Blanchet, F.G., O’Hara, R.B., Ovaskainen, O., Taskinen, S., Walker, S.C., </w:t>
      </w:r>
      <w:r>
        <w:rPr>
          <w:i/>
          <w:iCs/>
        </w:rPr>
        <w:t>et al.</w:t>
      </w:r>
      <w:r>
        <w:t xml:space="preserve"> (2015). </w:t>
      </w:r>
      <w:hyperlink r:id="rId86">
        <w:r>
          <w:rPr>
            <w:rStyle w:val="Lienhypertexte"/>
          </w:rPr>
          <w:t>So many variables: Joint modeling in community ecology</w:t>
        </w:r>
      </w:hyperlink>
      <w:r>
        <w:t xml:space="preserve">. </w:t>
      </w:r>
      <w:r>
        <w:rPr>
          <w:i/>
          <w:iCs/>
        </w:rPr>
        <w:t xml:space="preserve">Trends in </w:t>
      </w:r>
      <w:r>
        <w:rPr>
          <w:i/>
          <w:iCs/>
        </w:rPr>
        <w:t>Ecology &amp; Evolution</w:t>
      </w:r>
      <w:r>
        <w:t>, 30, 766–779.</w:t>
      </w:r>
    </w:p>
    <w:p w:rsidR="00ED22E3" w:rsidRDefault="00BE0193">
      <w:pPr>
        <w:pStyle w:val="Corpsdetexte"/>
      </w:pPr>
      <w:r>
        <w:t xml:space="preserve">Whittaker, R.J., Willis, K.J. &amp; Field, R. (2001). </w:t>
      </w:r>
      <w:hyperlink r:id="rId87">
        <w:r>
          <w:rPr>
            <w:rStyle w:val="Lienhypertexte"/>
          </w:rPr>
          <w:t>Scale and species richness: Towards a general, hierarchical theory of species diversity</w:t>
        </w:r>
      </w:hyperlink>
      <w:r>
        <w:t xml:space="preserve">. </w:t>
      </w:r>
      <w:r>
        <w:rPr>
          <w:i/>
          <w:iCs/>
        </w:rPr>
        <w:t>Journal of Biog</w:t>
      </w:r>
      <w:r>
        <w:rPr>
          <w:i/>
          <w:iCs/>
        </w:rPr>
        <w:t>eography</w:t>
      </w:r>
      <w:r>
        <w:t>, 28, 453–470.</w:t>
      </w:r>
    </w:p>
    <w:p w:rsidR="00ED22E3" w:rsidRDefault="00BE0193">
      <w:pPr>
        <w:pStyle w:val="Corpsdetexte"/>
      </w:pPr>
      <w:r>
        <w:t xml:space="preserve">Wiens, J.J., Ackerly, D.D., Allen, A.P., Anacker, B.L., Buckley, L.B., Cornell, H.V., </w:t>
      </w:r>
      <w:r>
        <w:rPr>
          <w:i/>
          <w:iCs/>
        </w:rPr>
        <w:t>et al.</w:t>
      </w:r>
      <w:r>
        <w:t xml:space="preserve"> (2010). Niche conservatism as an emerging principle in ecology and conservation biology. </w:t>
      </w:r>
      <w:r>
        <w:rPr>
          <w:i/>
          <w:iCs/>
        </w:rPr>
        <w:t>Ecology letters</w:t>
      </w:r>
      <w:r>
        <w:t>, 13, 1310–1324.</w:t>
      </w:r>
    </w:p>
    <w:p w:rsidR="00ED22E3" w:rsidRDefault="00BE0193">
      <w:pPr>
        <w:pStyle w:val="Corpsdetexte"/>
      </w:pPr>
      <w:r>
        <w:t>Wilkinson, D.P., Go</w:t>
      </w:r>
      <w:r>
        <w:t xml:space="preserve">lding, N., Guillera-Arroita, G., Tingley, R. &amp; McCarthy, M.A. (2019). </w:t>
      </w:r>
      <w:hyperlink r:id="rId88">
        <w:r>
          <w:rPr>
            <w:rStyle w:val="Lienhypertexte"/>
          </w:rPr>
          <w:t>A comparison of joint species distribution models for presence–absence data</w:t>
        </w:r>
      </w:hyperlink>
      <w:r>
        <w:t xml:space="preserve">. </w:t>
      </w:r>
      <w:r>
        <w:rPr>
          <w:i/>
          <w:iCs/>
        </w:rPr>
        <w:t>Methods in Ecology and Evolution</w:t>
      </w:r>
      <w:r>
        <w:t>, 10, 198–211.</w:t>
      </w:r>
    </w:p>
    <w:p w:rsidR="00ED22E3" w:rsidRDefault="00BE0193">
      <w:pPr>
        <w:pStyle w:val="Corpsdetexte"/>
      </w:pPr>
      <w:r>
        <w:t>Wil</w:t>
      </w:r>
      <w:r>
        <w:t xml:space="preserve">kinson, D.P., Golding, N., Guillera-Arroita, G., Tingley, R. &amp; McCarthy, M.A. (2020). </w:t>
      </w:r>
      <w:hyperlink r:id="rId89">
        <w:r>
          <w:rPr>
            <w:rStyle w:val="Lienhypertexte"/>
          </w:rPr>
          <w:t>Defining and evaluating predictions of joint species distribution models</w:t>
        </w:r>
      </w:hyperlink>
      <w:r>
        <w:t xml:space="preserve">. </w:t>
      </w:r>
      <w:r>
        <w:rPr>
          <w:i/>
          <w:iCs/>
        </w:rPr>
        <w:t>Methods in Ecology and Evolution</w:t>
      </w:r>
      <w:r>
        <w:t>, n/a.</w:t>
      </w:r>
    </w:p>
    <w:p w:rsidR="00ED22E3" w:rsidRDefault="00BE0193">
      <w:pPr>
        <w:pStyle w:val="Corpsdetexte"/>
      </w:pPr>
      <w:r>
        <w:t xml:space="preserve">Zurell, D., Berger, U., Cabral, J.S., Jeltsch, F., Meynard, C.N., Münkemüller, T., </w:t>
      </w:r>
      <w:r>
        <w:rPr>
          <w:i/>
          <w:iCs/>
        </w:rPr>
        <w:t>et al.</w:t>
      </w:r>
      <w:r>
        <w:t xml:space="preserve"> (2010). </w:t>
      </w:r>
      <w:hyperlink r:id="rId90">
        <w:r>
          <w:rPr>
            <w:rStyle w:val="Lienhypertexte"/>
          </w:rPr>
          <w:t>The virtual ecologist approach: Simulating data and observers</w:t>
        </w:r>
      </w:hyperlink>
      <w:r>
        <w:t xml:space="preserve">. </w:t>
      </w:r>
      <w:r>
        <w:rPr>
          <w:i/>
          <w:iCs/>
        </w:rPr>
        <w:t>Oikos</w:t>
      </w:r>
      <w:r>
        <w:t>, 119, 622–635.</w:t>
      </w:r>
    </w:p>
    <w:p w:rsidR="00ED22E3" w:rsidRDefault="00BE0193">
      <w:pPr>
        <w:pStyle w:val="Corpsdetexte"/>
      </w:pPr>
      <w:r>
        <w:t xml:space="preserve">Zurell, D., Pollock, L.J. &amp; Thuiller, W. (2018). </w:t>
      </w:r>
      <w:hyperlink r:id="rId91">
        <w:r>
          <w:rPr>
            <w:rStyle w:val="Lienhypertexte"/>
          </w:rPr>
          <w:t>Do joint species distribution models reliably detect interspecific interactions from co-occurrence data in homogenous environments?</w:t>
        </w:r>
      </w:hyperlink>
      <w:r>
        <w:t xml:space="preserve"> </w:t>
      </w:r>
      <w:r>
        <w:rPr>
          <w:i/>
          <w:iCs/>
        </w:rPr>
        <w:t>Ecography</w:t>
      </w:r>
      <w:r>
        <w:t>, 41, 1812–</w:t>
      </w:r>
      <w:r>
        <w:t>1819.</w:t>
      </w:r>
    </w:p>
    <w:p w:rsidR="00ED22E3" w:rsidRDefault="00BE0193">
      <w:pPr>
        <w:pStyle w:val="Titre1"/>
      </w:pPr>
      <w:bookmarkStart w:id="27" w:name="appendix-a"/>
      <w:r>
        <w:t>Appendix A</w:t>
      </w:r>
    </w:p>
    <w:p w:rsidR="00ED22E3" w:rsidRDefault="00BE0193">
      <w:pPr>
        <w:pStyle w:val="FirstParagraph"/>
      </w:pPr>
      <w:r>
        <w:t xml:space="preserve">The models used in this study incorporate a dataset consisting of seven environmental variables related to oceanography, hydrography, and granulometry obtenained from Boyé </w:t>
      </w:r>
      <w:r>
        <w:rPr>
          <w:i/>
          <w:iCs/>
        </w:rPr>
        <w:t>et al.</w:t>
      </w:r>
      <w:r>
        <w:t xml:space="preserve"> (2017). The oceanographic variables include the standard dev</w:t>
      </w:r>
      <w:r>
        <w:t xml:space="preserve">iation of salinity, surface water temperature, mean velocity of currents, and fetch, which were obtained from the PREVIMER database based on the MARS3D model. The variables were averaged by </w:t>
      </w:r>
      <w:r>
        <w:lastRenderedPageBreak/>
        <w:t>extracting daily data for the sampled year at the site coordinates</w:t>
      </w:r>
      <w:r>
        <w:t xml:space="preserve"> and the eight adjacent cells. The fetch was calculated as the average length of nine radiating fetch segments with a maximum distance of 300km. The granulometry variables were derived from sediment cores that were taken along with associated fauna. The co</w:t>
      </w:r>
      <w:r>
        <w:t>res were dried, separated into 15 fractions, and the Trask index was calculated as the ratio of the 25th to 75th percentile of the grain distribution. Organic matter mass was estimated through the loss of mass after combustion in an oven.</w:t>
      </w:r>
    </w:p>
    <w:p w:rsidR="00ED22E3" w:rsidRDefault="00BE0193">
      <w:pPr>
        <w:pStyle w:val="Titre1"/>
      </w:pPr>
      <w:bookmarkStart w:id="28" w:name="appendix-b"/>
      <w:bookmarkEnd w:id="27"/>
      <w:r>
        <w:t>Appendix B</w:t>
      </w:r>
    </w:p>
    <w:p w:rsidR="00ED22E3" w:rsidRDefault="00BE0193">
      <w:pPr>
        <w:pStyle w:val="FirstParagraph"/>
      </w:pPr>
      <w:r>
        <w:rPr>
          <w:noProof/>
        </w:rPr>
        <w:drawing>
          <wp:inline distT="0" distB="0" distL="0" distR="0">
            <wp:extent cx="5334000" cy="4000022"/>
            <wp:effectExtent l="0" t="0" r="0" b="0"/>
            <wp:docPr id="143" name="Picture" descr="Figure S 1: Map of the sampled sites. Point shapes vary according to their contribution to model training set (circles ; used to evaluate model explanatory power) as opposed to the two sites retained for independent model testing (triangles ; used to evaluate model predictive power). Point colors vary according to the presence or absence of the two habitats in each site. The two test sites include the two habitats (i.e. seagrass and bare sand) and were chosen because they occur in environmental conditions that can be considered average at the scale of the region (thereby limiting extrapolation of the model) but still harbour different communities, representative of the known diversity gradient across the region."/>
            <wp:cNvGraphicFramePr/>
            <a:graphic xmlns:a="http://schemas.openxmlformats.org/drawingml/2006/main">
              <a:graphicData uri="http://schemas.openxmlformats.org/drawingml/2006/picture">
                <pic:pic xmlns:pic="http://schemas.openxmlformats.org/drawingml/2006/picture">
                  <pic:nvPicPr>
                    <pic:cNvPr id="144" name="Picture" descr="media/rId21.png"/>
                    <pic:cNvPicPr>
                      <a:picLocks noChangeAspect="1" noChangeArrowheads="1"/>
                    </pic:cNvPicPr>
                  </pic:nvPicPr>
                  <pic:blipFill>
                    <a:blip r:embed="rId92"/>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w:t>
      </w:r>
      <w:r>
        <w:t xml:space="preserve">re S 1: Map of the sampled sites. Point shapes vary according to their contribution to model training set (circles ; used to evaluate model explanatory power) as opposed to the two sites retained for independent model testing (triangles ; used to evaluate </w:t>
      </w:r>
      <w:r>
        <w:t xml:space="preserve">model predictive power). Point colors vary according to the presence or absence of the two habitats in each site. The two test sites include the two habitats (i.e. seagrass and bare sand) and were chosen because they occur in environmental conditions that </w:t>
      </w:r>
      <w:r>
        <w:t>can be considered average at the scale of the region (thereby limiting extrapolation of the model) but still harbour different communities, representative of the known diversity gradient across the region.</w:t>
      </w:r>
    </w:p>
    <w:p w:rsidR="00ED22E3" w:rsidRDefault="00BE0193">
      <w:pPr>
        <w:pStyle w:val="Corpsdetexte"/>
      </w:pPr>
      <w:r>
        <w:rPr>
          <w:noProof/>
        </w:rPr>
        <w:lastRenderedPageBreak/>
        <w:drawing>
          <wp:inline distT="0" distB="0" distL="0" distR="0">
            <wp:extent cx="5334000" cy="4000022"/>
            <wp:effectExtent l="0" t="0" r="0" b="0"/>
            <wp:docPr id="146" name="Picture" descr="Figure S 2: A. Distribution of the richness in the sites of the train dataset. B. Distribution of the richness in the sites of the test dataset."/>
            <wp:cNvGraphicFramePr/>
            <a:graphic xmlns:a="http://schemas.openxmlformats.org/drawingml/2006/main">
              <a:graphicData uri="http://schemas.openxmlformats.org/drawingml/2006/picture">
                <pic:pic xmlns:pic="http://schemas.openxmlformats.org/drawingml/2006/picture">
                  <pic:nvPicPr>
                    <pic:cNvPr id="147" name="Picture" descr="media/rId25.png"/>
                    <pic:cNvPicPr>
                      <a:picLocks noChangeAspect="1" noChangeArrowheads="1"/>
                    </pic:cNvPicPr>
                  </pic:nvPicPr>
                  <pic:blipFill>
                    <a:blip r:embed="rId93"/>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2: A. Distribution of the richness in t</w:t>
      </w:r>
      <w:r>
        <w:t>he sites of the train dataset. B. Distribution of the richness in the sites of the test dataset.</w:t>
      </w:r>
    </w:p>
    <w:p w:rsidR="00ED22E3" w:rsidRDefault="00BE0193">
      <w:pPr>
        <w:pStyle w:val="Corpsdetexte"/>
      </w:pPr>
      <w:r>
        <w:rPr>
          <w:noProof/>
        </w:rPr>
        <w:lastRenderedPageBreak/>
        <w:drawing>
          <wp:inline distT="0" distB="0" distL="0" distR="0">
            <wp:extent cx="5334000" cy="4000022"/>
            <wp:effectExtent l="0" t="0" r="0" b="0"/>
            <wp:docPr id="149" name="Picture" descr="Figure S 3: A. Distribution of the abundance in the sites of the train dataset. B. Distribution of the abundance in the sites of the test dataset."/>
            <wp:cNvGraphicFramePr/>
            <a:graphic xmlns:a="http://schemas.openxmlformats.org/drawingml/2006/main">
              <a:graphicData uri="http://schemas.openxmlformats.org/drawingml/2006/picture">
                <pic:pic xmlns:pic="http://schemas.openxmlformats.org/drawingml/2006/picture">
                  <pic:nvPicPr>
                    <pic:cNvPr id="150" name="Picture" descr="media/rId29.png"/>
                    <pic:cNvPicPr>
                      <a:picLocks noChangeAspect="1" noChangeArrowheads="1"/>
                    </pic:cNvPicPr>
                  </pic:nvPicPr>
                  <pic:blipFill>
                    <a:blip r:embed="rId94"/>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3: A. Distribution of the abundance in the sites of the train dataset. B. Distribution of the abundance in the sites of the test dataset.</w:t>
      </w:r>
    </w:p>
    <w:p w:rsidR="00ED22E3" w:rsidRDefault="00BE0193">
      <w:pPr>
        <w:pStyle w:val="Titre1"/>
      </w:pPr>
      <w:bookmarkStart w:id="29" w:name="appendix-c"/>
      <w:bookmarkEnd w:id="28"/>
      <w:r>
        <w:lastRenderedPageBreak/>
        <w:t>Appendix C</w:t>
      </w:r>
    </w:p>
    <w:p w:rsidR="00ED22E3" w:rsidRDefault="00BE0193">
      <w:pPr>
        <w:pStyle w:val="FirstParagraph"/>
      </w:pPr>
      <w:r>
        <w:rPr>
          <w:noProof/>
        </w:rPr>
        <w:drawing>
          <wp:inline distT="0" distB="0" distL="0" distR="0">
            <wp:extent cx="5334000" cy="4000022"/>
            <wp:effectExtent l="0" t="0" r="0" b="0"/>
            <wp:docPr id="153" name="Picture" descr="Figure S 4: Distribution of species-specific AUC estimates that characterise explanatory (predictions Vs train set observations; top panel) and predictive power (prediction versus test dataset observations; bottom panel) for the benchmark model fitted on presence/absence data."/>
            <wp:cNvGraphicFramePr/>
            <a:graphic xmlns:a="http://schemas.openxmlformats.org/drawingml/2006/main">
              <a:graphicData uri="http://schemas.openxmlformats.org/drawingml/2006/picture">
                <pic:pic xmlns:pic="http://schemas.openxmlformats.org/drawingml/2006/picture">
                  <pic:nvPicPr>
                    <pic:cNvPr id="154" name="Picture" descr="media/rId34.png"/>
                    <pic:cNvPicPr>
                      <a:picLocks noChangeAspect="1" noChangeArrowheads="1"/>
                    </pic:cNvPicPr>
                  </pic:nvPicPr>
                  <pic:blipFill>
                    <a:blip r:embed="rId95"/>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4: Distribution of species-specific AUC estimates that characterise explanatory (predictions Vs train set observations; top panel) and predictive power (prediction versus test dataset observations; bottom panel) for the benchmark model fitted o</w:t>
      </w:r>
      <w:r>
        <w:t>n presence/absence data.</w:t>
      </w:r>
    </w:p>
    <w:p w:rsidR="00ED22E3" w:rsidRDefault="00BE0193">
      <w:pPr>
        <w:pStyle w:val="Corpsdetexte"/>
      </w:pPr>
      <w:r>
        <w:rPr>
          <w:noProof/>
        </w:rPr>
        <w:lastRenderedPageBreak/>
        <w:drawing>
          <wp:inline distT="0" distB="0" distL="0" distR="0">
            <wp:extent cx="5334000" cy="4000022"/>
            <wp:effectExtent l="0" t="0" r="0" b="0"/>
            <wp:docPr id="156" name="Picture" descr="Figure S 5: Explanatory (A) and predictive (B) power of the benchmark model for abundance data. Each dot is a species predicted for one observational unit (i.e. one habitat in one site for a given year). The y-axis represents the number of individuals observed for each species in each observational unit. The x-axis shows the number of individuals predicted by the model for each observational unit. The dotted line represents the theoretical line of perfect fit of the model to the data (1:1)."/>
            <wp:cNvGraphicFramePr/>
            <a:graphic xmlns:a="http://schemas.openxmlformats.org/drawingml/2006/main">
              <a:graphicData uri="http://schemas.openxmlformats.org/drawingml/2006/picture">
                <pic:pic xmlns:pic="http://schemas.openxmlformats.org/drawingml/2006/picture">
                  <pic:nvPicPr>
                    <pic:cNvPr id="157" name="Picture" descr="media/rId38.png"/>
                    <pic:cNvPicPr>
                      <a:picLocks noChangeAspect="1" noChangeArrowheads="1"/>
                    </pic:cNvPicPr>
                  </pic:nvPicPr>
                  <pic:blipFill>
                    <a:blip r:embed="rId96"/>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5: Explanatory (A) and predictive (B) power of the benchmark model for abundance data. Each dot is a species predicted for one observational unit (i.e. one habitat in one site for a given year). The y-axis represents the</w:t>
      </w:r>
      <w:r>
        <w:t xml:space="preserve"> number of individuals observed for each species in each observational unit. The x-axis shows the number of individuals predicted by the model for each observational unit. The dotted line represents the theoretical line of perfect fit of the model to the d</w:t>
      </w:r>
      <w:r>
        <w:t>ata (1:1).</w:t>
      </w:r>
    </w:p>
    <w:p w:rsidR="00ED22E3" w:rsidRDefault="00BE0193">
      <w:pPr>
        <w:pStyle w:val="Corpsdetexte"/>
      </w:pPr>
      <w:r>
        <w:rPr>
          <w:noProof/>
        </w:rPr>
        <w:lastRenderedPageBreak/>
        <w:drawing>
          <wp:inline distT="0" distB="0" distL="0" distR="0">
            <wp:extent cx="5334000" cy="4000022"/>
            <wp:effectExtent l="0" t="0" r="0" b="0"/>
            <wp:docPr id="159" name="Picture" descr="Figure S 6: RMSE of the abundance as a function of the mean observed abundance."/>
            <wp:cNvGraphicFramePr/>
            <a:graphic xmlns:a="http://schemas.openxmlformats.org/drawingml/2006/main">
              <a:graphicData uri="http://schemas.openxmlformats.org/drawingml/2006/picture">
                <pic:pic xmlns:pic="http://schemas.openxmlformats.org/drawingml/2006/picture">
                  <pic:nvPicPr>
                    <pic:cNvPr id="160" name="Picture" descr="media/rId42.png"/>
                    <pic:cNvPicPr>
                      <a:picLocks noChangeAspect="1" noChangeArrowheads="1"/>
                    </pic:cNvPicPr>
                  </pic:nvPicPr>
                  <pic:blipFill>
                    <a:blip r:embed="rId97"/>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6: RMSE of the abundance as a function of the mean observed abundance.</w:t>
      </w:r>
    </w:p>
    <w:p w:rsidR="00ED22E3" w:rsidRDefault="00BE0193">
      <w:pPr>
        <w:pStyle w:val="Corpsdetexte"/>
      </w:pPr>
      <w:r>
        <w:rPr>
          <w:noProof/>
        </w:rPr>
        <w:lastRenderedPageBreak/>
        <w:drawing>
          <wp:inline distT="0" distB="0" distL="0" distR="0">
            <wp:extent cx="5334000" cy="4000022"/>
            <wp:effectExtent l="0" t="0" r="0" b="0"/>
            <wp:docPr id="162" name="Picture" descr="Figure S 7: Ratio between RMSE and observed abundance for the traing dataset (left column) and test dataset (right column)"/>
            <wp:cNvGraphicFramePr/>
            <a:graphic xmlns:a="http://schemas.openxmlformats.org/drawingml/2006/main">
              <a:graphicData uri="http://schemas.openxmlformats.org/drawingml/2006/picture">
                <pic:pic xmlns:pic="http://schemas.openxmlformats.org/drawingml/2006/picture">
                  <pic:nvPicPr>
                    <pic:cNvPr id="163" name="Picture" descr="media/rId46.png"/>
                    <pic:cNvPicPr>
                      <a:picLocks noChangeAspect="1" noChangeArrowheads="1"/>
                    </pic:cNvPicPr>
                  </pic:nvPicPr>
                  <pic:blipFill>
                    <a:blip r:embed="rId98"/>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7: Ratio between RMSE and observed abundance for the traing dataset (left column) and test dataset (right column)</w:t>
      </w:r>
    </w:p>
    <w:p w:rsidR="00ED22E3" w:rsidRDefault="00BE0193">
      <w:pPr>
        <w:pStyle w:val="Corpsdetexte"/>
      </w:pPr>
      <w:r>
        <w:rPr>
          <w:noProof/>
        </w:rPr>
        <w:lastRenderedPageBreak/>
        <w:drawing>
          <wp:inline distT="0" distB="0" distL="0" distR="0">
            <wp:extent cx="5334000" cy="4000022"/>
            <wp:effectExtent l="0" t="0" r="0" b="0"/>
            <wp:docPr id="165" name="Picture" descr="Figure S 8: Comparison of explanatory (left column; Train set) and predictive (right column; Test set) capacities of the different model structures fitted on presence/absence (top panels) or abundance (bottom panels) data"/>
            <wp:cNvGraphicFramePr/>
            <a:graphic xmlns:a="http://schemas.openxmlformats.org/drawingml/2006/main">
              <a:graphicData uri="http://schemas.openxmlformats.org/drawingml/2006/picture">
                <pic:pic xmlns:pic="http://schemas.openxmlformats.org/drawingml/2006/picture">
                  <pic:nvPicPr>
                    <pic:cNvPr id="166" name="Picture" descr="media/rId50.png"/>
                    <pic:cNvPicPr>
                      <a:picLocks noChangeAspect="1" noChangeArrowheads="1"/>
                    </pic:cNvPicPr>
                  </pic:nvPicPr>
                  <pic:blipFill>
                    <a:blip r:embed="rId99"/>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8: Comparison of explanator</w:t>
      </w:r>
      <w:r>
        <w:t>y (left column; Train set) and predictive (right column; Test set) capacities of the different model structures fitted on presence/absence (top panels) or abundance (bottom panels) data</w:t>
      </w:r>
    </w:p>
    <w:p w:rsidR="00ED22E3" w:rsidRDefault="00BE0193">
      <w:pPr>
        <w:pStyle w:val="Corpsdetexte"/>
      </w:pPr>
      <w:r>
        <w:rPr>
          <w:noProof/>
        </w:rPr>
        <w:lastRenderedPageBreak/>
        <w:drawing>
          <wp:inline distT="0" distB="0" distL="0" distR="0">
            <wp:extent cx="5334000" cy="4000022"/>
            <wp:effectExtent l="0" t="0" r="0" b="0"/>
            <wp:docPr id="167" name="Picture" descr="Figure S 9: Fuzzy PCA of the species-by-trait matrix. The first three axes represent 58.55% of the total variance. The first axis distinguishes sessile microphagous species (top positive values) from mobile macrophages predatory species (bottom negative values). The second axis is a gradient of reproductive strategies (semelparous Vs. iteroparous). The third axis distinguishes burrowers with direct development from tube-dwellers with planktonic development. For abbreviations and meaning of the trait modalities, see Boyé et al. (2019)."/>
            <wp:cNvGraphicFramePr/>
            <a:graphic xmlns:a="http://schemas.openxmlformats.org/drawingml/2006/main">
              <a:graphicData uri="http://schemas.openxmlformats.org/drawingml/2006/picture">
                <pic:pic xmlns:pic="http://schemas.openxmlformats.org/drawingml/2006/picture">
                  <pic:nvPicPr>
                    <pic:cNvPr id="168" name="Picture" descr="media/rId54.png"/>
                    <pic:cNvPicPr>
                      <a:picLocks noChangeAspect="1" noChangeArrowheads="1"/>
                    </pic:cNvPicPr>
                  </pic:nvPicPr>
                  <pic:blipFill>
                    <a:blip r:embed="rId14"/>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9: Fuzzy PCA of the species-by-trait matrix. The first thre</w:t>
      </w:r>
      <w:r>
        <w:t>e axes represent 58.55% of the total variance. The first axis distinguishes sessile microphagous species (top positive values) from mobile macrophages predatory species (bottom negative values). The second axis is a gradient of reproductive strategies (sem</w:t>
      </w:r>
      <w:r>
        <w:t xml:space="preserve">elparous Vs. iteroparous). The third axis distinguishes burrowers with direct development from tube-dwellers with planktonic development. For abbreviations and meaning of the trait modalities, see Boyé </w:t>
      </w:r>
      <w:r>
        <w:rPr>
          <w:i/>
          <w:iCs/>
        </w:rPr>
        <w:t>et al.</w:t>
      </w:r>
      <w:r>
        <w:t xml:space="preserve"> (2019).</w:t>
      </w:r>
    </w:p>
    <w:p w:rsidR="00ED22E3" w:rsidRDefault="00BE0193">
      <w:pPr>
        <w:pStyle w:val="Corpsdetexte"/>
      </w:pPr>
      <w:r>
        <w:rPr>
          <w:noProof/>
        </w:rPr>
        <w:lastRenderedPageBreak/>
        <w:drawing>
          <wp:inline distT="0" distB="0" distL="0" distR="0">
            <wp:extent cx="5334000" cy="4000022"/>
            <wp:effectExtent l="0" t="0" r="0" b="0"/>
            <wp:docPr id="170" name="Picture" descr="Figure S 10: Relationship between species’ position along the first axis of the fuzzy PCA (sessile microphagous-mobile macrophagous gradient) and the different environmental variables used in the models (fitted with abundance data in the left panel, and with presence/absence data in the right panel). Relationships are derived from the regression coefficients estimated for the PhTr model (γ coefficients in HMSC; Ovaskainen &amp; Abrego (2020)).The lines are fitted loess/gam representing the average response across the different species. As an example of interpretation, the red lines in both graphs indicate that sessile microphagous species are more negatively influenced (lower abundance, low probability for presence) by fetch than macrophagous mobile species."/>
            <wp:cNvGraphicFramePr/>
            <a:graphic xmlns:a="http://schemas.openxmlformats.org/drawingml/2006/main">
              <a:graphicData uri="http://schemas.openxmlformats.org/drawingml/2006/picture">
                <pic:pic xmlns:pic="http://schemas.openxmlformats.org/drawingml/2006/picture">
                  <pic:nvPicPr>
                    <pic:cNvPr id="171" name="Picture" descr="media/rId58.png"/>
                    <pic:cNvPicPr>
                      <a:picLocks noChangeAspect="1" noChangeArrowheads="1"/>
                    </pic:cNvPicPr>
                  </pic:nvPicPr>
                  <pic:blipFill>
                    <a:blip r:embed="rId100"/>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10: Relationship between spe</w:t>
      </w:r>
      <w:r>
        <w:t>cies’ position along the first axis of the fuzzy PCA (sessile microphagous-mobile macrophagous gradient) and the different environmental variables used in the models (fitted with abundance data in the left panel, and with presence/absence data in the right</w:t>
      </w:r>
      <w:r>
        <w:t xml:space="preserve"> panel). Relationships are derived from the regression coefficients estimated for the PhTr model (γ coefficients in HMSC; Ovaskainen &amp; Abrego (2020)).The lines are fitted loess/gam representing the average response across the different species. As an examp</w:t>
      </w:r>
      <w:r>
        <w:t>le of interpretation, the red lines in both graphs indicate that sessile microphagous species are more negatively influenced (lower abundance, low probability for presence) by fetch than macrophagous mobile species.</w:t>
      </w:r>
    </w:p>
    <w:p w:rsidR="00ED22E3" w:rsidRDefault="00BE0193">
      <w:pPr>
        <w:pStyle w:val="Corpsdetexte"/>
      </w:pPr>
      <w:r>
        <w:rPr>
          <w:noProof/>
        </w:rPr>
        <w:lastRenderedPageBreak/>
        <w:drawing>
          <wp:inline distT="0" distB="0" distL="0" distR="0">
            <wp:extent cx="5334000" cy="4000022"/>
            <wp:effectExtent l="0" t="0" r="0" b="0"/>
            <wp:docPr id="173" name="Picture" descr="Figure S 11: Comparison across alternative models of explained variance partitioning for each species (along the x-axis) attributed to all environmental variables (Environment) or to the three random effects (Random) or the unexplained variance (white) for the models fitted with abundance (left) and presence/absence (right) data. Species are ordered by decreasing order of variance explained by the environment for the benchmark model."/>
            <wp:cNvGraphicFramePr/>
            <a:graphic xmlns:a="http://schemas.openxmlformats.org/drawingml/2006/main">
              <a:graphicData uri="http://schemas.openxmlformats.org/drawingml/2006/picture">
                <pic:pic xmlns:pic="http://schemas.openxmlformats.org/drawingml/2006/picture">
                  <pic:nvPicPr>
                    <pic:cNvPr id="174" name="Picture" descr="media/rId62.png"/>
                    <pic:cNvPicPr>
                      <a:picLocks noChangeAspect="1" noChangeArrowheads="1"/>
                    </pic:cNvPicPr>
                  </pic:nvPicPr>
                  <pic:blipFill>
                    <a:blip r:embed="rId101"/>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11: Comparison across alterna</w:t>
      </w:r>
      <w:r>
        <w:t>tive models of explained variance partitioning for each species (along the x-axis) attributed to all environmental variables (Environment) or to the three random effects (Random) or the unexplained variance (white) for the models fitted with abundance (lef</w:t>
      </w:r>
      <w:r>
        <w:t>t) and presence/absence (right) data. Species are ordered by decreasing order of variance explained by the environment for the benchmark model.</w:t>
      </w:r>
    </w:p>
    <w:p w:rsidR="00ED22E3" w:rsidRDefault="00BE0193">
      <w:pPr>
        <w:pStyle w:val="Corpsdetexte"/>
      </w:pPr>
      <w:r>
        <w:rPr>
          <w:noProof/>
        </w:rPr>
        <w:lastRenderedPageBreak/>
        <w:drawing>
          <wp:inline distT="0" distB="0" distL="0" distR="0">
            <wp:extent cx="5334000" cy="4000022"/>
            <wp:effectExtent l="0" t="0" r="0" b="0"/>
            <wp:docPr id="176" name="Picture" descr="Figure S 12: Comparison of the model performances to predict the community structes for the models fitted with abundance data for the train (purple) and test (yellow) dataset. The left column indicate for each model the difference in dissimilarity between the observed community and the predict one. The middle column presents the differences in richness prediction between the observed and predict community. The right column presents the differences in abundances between the observed and predict community."/>
            <wp:cNvGraphicFramePr/>
            <a:graphic xmlns:a="http://schemas.openxmlformats.org/drawingml/2006/main">
              <a:graphicData uri="http://schemas.openxmlformats.org/drawingml/2006/picture">
                <pic:pic xmlns:pic="http://schemas.openxmlformats.org/drawingml/2006/picture">
                  <pic:nvPicPr>
                    <pic:cNvPr id="177" name="Picture" descr="media/rId66.png"/>
                    <pic:cNvPicPr>
                      <a:picLocks noChangeAspect="1" noChangeArrowheads="1"/>
                    </pic:cNvPicPr>
                  </pic:nvPicPr>
                  <pic:blipFill>
                    <a:blip r:embed="rId102"/>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12: Comparison of the model performances to predict the community structes for the models fitted with</w:t>
      </w:r>
      <w:r>
        <w:t xml:space="preserve"> abundance data for the train (purple) and test (yellow) dataset. The left column indicate for each model the difference in dissimilarity between the observed community and the predict one. The middle column presents the differences in richness prediction </w:t>
      </w:r>
      <w:r>
        <w:t>between the observed and predict community. The right column presents the differences in abundances between the observed and predict community.</w:t>
      </w:r>
    </w:p>
    <w:p w:rsidR="00ED22E3" w:rsidRDefault="00BE0193">
      <w:pPr>
        <w:pStyle w:val="Corpsdetexte"/>
      </w:pPr>
      <w:r>
        <w:rPr>
          <w:noProof/>
        </w:rPr>
        <w:lastRenderedPageBreak/>
        <w:drawing>
          <wp:inline distT="0" distB="0" distL="0" distR="0">
            <wp:extent cx="5334000" cy="4000022"/>
            <wp:effectExtent l="0" t="0" r="0" b="0"/>
            <wp:docPr id="179" name="Picture" descr="Figure S 13: Comparison of the model performances to predict the community structes for the models fitted with presence/absence data for the train (purple) and test (yellow) dataset. The left column indicate for each model the difference in dissimilarity between the observed community and the predict one. The right column presents the differences in richness prediction between the observed and predict community."/>
            <wp:cNvGraphicFramePr/>
            <a:graphic xmlns:a="http://schemas.openxmlformats.org/drawingml/2006/main">
              <a:graphicData uri="http://schemas.openxmlformats.org/drawingml/2006/picture">
                <pic:pic xmlns:pic="http://schemas.openxmlformats.org/drawingml/2006/picture">
                  <pic:nvPicPr>
                    <pic:cNvPr id="180" name="Picture" descr="media/rId70.png"/>
                    <pic:cNvPicPr>
                      <a:picLocks noChangeAspect="1" noChangeArrowheads="1"/>
                    </pic:cNvPicPr>
                  </pic:nvPicPr>
                  <pic:blipFill>
                    <a:blip r:embed="rId103"/>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13: Comparison of the model performances to predict the community structes for the models fitted with</w:t>
      </w:r>
      <w:r>
        <w:t xml:space="preserve"> presence/absence data for the train (purple) and test (yellow) dataset. The left column indicate for each model the difference in dissimilarity between the observed community and the predict one. The right column presents the differences in richness predi</w:t>
      </w:r>
      <w:r>
        <w:t>ction between the observed and predict community.</w:t>
      </w:r>
    </w:p>
    <w:p w:rsidR="00ED22E3" w:rsidRDefault="00BE0193">
      <w:pPr>
        <w:pStyle w:val="Corpsdetexte"/>
      </w:pPr>
      <w:r>
        <w:rPr>
          <w:noProof/>
        </w:rPr>
        <w:lastRenderedPageBreak/>
        <w:drawing>
          <wp:inline distT="0" distB="0" distL="0" distR="0">
            <wp:extent cx="5334000" cy="3999997"/>
            <wp:effectExtent l="0" t="0" r="0" b="0"/>
            <wp:docPr id="182" name="Picture" descr="Figure S 14: Same figure as Fig. 4 in main text for presence/absence models. Number (y-axis) and proportion (indicated above individual bars) of response curves (i.e. one for each species-predictor combination) according to the nomenclature (nine shapes highlighted by the black curve in each panel) defined by Rigal et al. (2020) for different abundance model structures."/>
            <wp:cNvGraphicFramePr/>
            <a:graphic xmlns:a="http://schemas.openxmlformats.org/drawingml/2006/main">
              <a:graphicData uri="http://schemas.openxmlformats.org/drawingml/2006/picture">
                <pic:pic xmlns:pic="http://schemas.openxmlformats.org/drawingml/2006/picture">
                  <pic:nvPicPr>
                    <pic:cNvPr id="183" name="Picture" descr="media/rId74.png"/>
                    <pic:cNvPicPr>
                      <a:picLocks noChangeAspect="1" noChangeArrowheads="1"/>
                    </pic:cNvPicPr>
                  </pic:nvPicPr>
                  <pic:blipFill>
                    <a:blip r:embed="rId104"/>
                    <a:stretch>
                      <a:fillRect/>
                    </a:stretch>
                  </pic:blipFill>
                  <pic:spPr bwMode="auto">
                    <a:xfrm>
                      <a:off x="0" y="0"/>
                      <a:ext cx="5334000" cy="3999997"/>
                    </a:xfrm>
                    <a:prstGeom prst="rect">
                      <a:avLst/>
                    </a:prstGeom>
                    <a:noFill/>
                    <a:ln w="9525">
                      <a:noFill/>
                      <a:headEnd/>
                      <a:tailEnd/>
                    </a:ln>
                  </pic:spPr>
                </pic:pic>
              </a:graphicData>
            </a:graphic>
          </wp:inline>
        </w:drawing>
      </w:r>
    </w:p>
    <w:p w:rsidR="00ED22E3" w:rsidRDefault="00BE0193">
      <w:pPr>
        <w:pStyle w:val="Corpsdetexte"/>
      </w:pPr>
      <w:r>
        <w:t>Figure S 14: Same figure as Fig. 4 in main text for presence/absence models. Number (y-axis) and proportion (indicated above individual bars) of response curves (i.e. one for each species-predictor combin</w:t>
      </w:r>
      <w:r>
        <w:t xml:space="preserve">ation) according to the nomenclature (nine shapes highlighted by the black curve in each panel) defined by Rigal </w:t>
      </w:r>
      <w:r>
        <w:rPr>
          <w:i/>
          <w:iCs/>
        </w:rPr>
        <w:t>et al.</w:t>
      </w:r>
      <w:r>
        <w:t xml:space="preserve"> (2020) for different abundance model structures.</w:t>
      </w:r>
    </w:p>
    <w:p w:rsidR="00ED22E3" w:rsidRDefault="00BE0193">
      <w:pPr>
        <w:pStyle w:val="Corpsdetexte"/>
      </w:pPr>
      <w:r>
        <w:rPr>
          <w:noProof/>
        </w:rPr>
        <w:lastRenderedPageBreak/>
        <w:drawing>
          <wp:inline distT="0" distB="0" distL="0" distR="0">
            <wp:extent cx="5334000" cy="4000022"/>
            <wp:effectExtent l="0" t="0" r="0" b="0"/>
            <wp:docPr id="185" name="Picture" descr="Figure S 15: Same figure as Fig. 5 in the main text for presence/absence-based models. (A) Comparison of residual correlations associated with the three random effects estimated by the Whole Community Model (y-axis) and the Benchmark model (x-axis) fitted on abundance data. The colour scale highlights the density of points in each scatter plot. (B) Distribution of the index measuring change in sign (sign change left to the zero line, no change to the right) and magnitude (higher departure from the zero line indicate higher difference) between residual correlations estimated by the whole community model and the benchmark model adjusted with abundance data for the three random effects (Habitat, Site, Year)."/>
            <wp:cNvGraphicFramePr/>
            <a:graphic xmlns:a="http://schemas.openxmlformats.org/drawingml/2006/main">
              <a:graphicData uri="http://schemas.openxmlformats.org/drawingml/2006/picture">
                <pic:pic xmlns:pic="http://schemas.openxmlformats.org/drawingml/2006/picture">
                  <pic:nvPicPr>
                    <pic:cNvPr id="186" name="Picture" descr="media/rId78.png"/>
                    <pic:cNvPicPr>
                      <a:picLocks noChangeAspect="1" noChangeArrowheads="1"/>
                    </pic:cNvPicPr>
                  </pic:nvPicPr>
                  <pic:blipFill>
                    <a:blip r:embed="rId105"/>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 xml:space="preserve">Figure S 15: Same figure as Fig. 5 in the main text for presence/absence-based models. (A) Comparison of residual correlations associated with the three random effects estimated by the Whole Community Model (y-axis) and the Benchmark model (x-axis) fitted </w:t>
      </w:r>
      <w:r>
        <w:t>on abundance data. The colour scale highlights the density of points in each scatter plot. (B) Distribution of the index measuring change in sign (sign change left to the zero line, no change to the right) and magnitude (higher departure from the zero line</w:t>
      </w:r>
      <w:r>
        <w:t xml:space="preserve"> indicate higher difference) between residual correlations estimated by the whole community model and the benchmark model adjusted with abundance data for the three random effects (Habitat, Site, Year).</w:t>
      </w:r>
    </w:p>
    <w:p w:rsidR="00ED22E3" w:rsidRDefault="00BE0193">
      <w:pPr>
        <w:pStyle w:val="Titre1"/>
      </w:pPr>
      <w:bookmarkStart w:id="30" w:name="appendix-d"/>
      <w:bookmarkEnd w:id="29"/>
      <w:r>
        <w:t>Appendix D</w:t>
      </w:r>
    </w:p>
    <w:p w:rsidR="00ED22E3" w:rsidRDefault="00BE0193">
      <w:pPr>
        <w:pStyle w:val="Titre2"/>
      </w:pPr>
      <w:bookmarkStart w:id="31" w:name="mcmc-convergence-diagnostic"/>
      <w:r>
        <w:t>MCMC convergence diagnostic</w:t>
      </w:r>
    </w:p>
    <w:p w:rsidR="00ED22E3" w:rsidRDefault="00BE0193">
      <w:pPr>
        <w:pStyle w:val="Titre3"/>
      </w:pPr>
      <w:bookmarkStart w:id="32" w:name="environmental-coefficients"/>
      <w:r>
        <w:t>Environmental coefficients</w:t>
      </w:r>
    </w:p>
    <w:p w:rsidR="00ED22E3" w:rsidRDefault="00BE0193">
      <w:pPr>
        <w:pStyle w:val="FirstParagraph"/>
      </w:pPr>
      <w:r>
        <w:t xml:space="preserve">Table S 1: Potential scale reduction factors (PSRF) and effective sample sizes (ESS) for environmental regression parameters (i.e beta coefficients) estimated for the models including phylogeny data. For further details see Fig. </w:t>
      </w:r>
      <w:r>
        <w:t>S12 to Fig. S19.</w:t>
      </w:r>
    </w:p>
    <w:p w:rsidR="00ED22E3" w:rsidRDefault="00BE0193">
      <w:pPr>
        <w:pStyle w:val="TableCaption"/>
      </w:pPr>
      <w:r>
        <w:lastRenderedPageBreak/>
        <w:t>Table S 1: Potential scale reduction factors (PSRF) and effective sample sizes (ESS) for environmental regression parameters (i.e beta coefficients) estimated for the models including phylogeny data. For further details see Fig. S12 to Fig</w:t>
      </w:r>
      <w:r>
        <w:t xml:space="preserve">. S19. </w:t>
      </w:r>
    </w:p>
    <w:tbl>
      <w:tblPr>
        <w:tblStyle w:val="Table"/>
        <w:tblW w:w="5000" w:type="pct"/>
        <w:tblLook w:val="0020" w:firstRow="1" w:lastRow="0" w:firstColumn="0" w:lastColumn="0" w:noHBand="0" w:noVBand="0"/>
        <w:tblCaption w:val="Table S 1: Potential scale reduction factors (PSRF) and effective sample sizes (ESS) for environmental regression parameters (i.e beta coefficients) estimated for the models including phylogeny data. For further details see Fig. S12 to Fig. S19. "/>
      </w:tblPr>
      <w:tblGrid>
        <w:gridCol w:w="3849"/>
        <w:gridCol w:w="2211"/>
        <w:gridCol w:w="1844"/>
        <w:gridCol w:w="1718"/>
      </w:tblGrid>
      <w:tr w:rsidR="00ED22E3" w:rsidTr="00ED22E3">
        <w:trPr>
          <w:cnfStyle w:val="100000000000" w:firstRow="1" w:lastRow="0" w:firstColumn="0" w:lastColumn="0" w:oddVBand="0" w:evenVBand="0" w:oddHBand="0" w:evenHBand="0" w:firstRowFirstColumn="0" w:firstRowLastColumn="0" w:lastRowFirstColumn="0" w:lastRowLastColumn="0"/>
          <w:tblHeader/>
        </w:trPr>
        <w:tc>
          <w:tcPr>
            <w:tcW w:w="0" w:type="auto"/>
          </w:tcPr>
          <w:p w:rsidR="00ED22E3" w:rsidRDefault="00BE0193">
            <w:pPr>
              <w:pStyle w:val="Compact"/>
            </w:pPr>
            <w:r>
              <w:t>Model</w:t>
            </w:r>
          </w:p>
        </w:tc>
        <w:tc>
          <w:tcPr>
            <w:tcW w:w="0" w:type="auto"/>
          </w:tcPr>
          <w:p w:rsidR="00ED22E3" w:rsidRDefault="00BE0193">
            <w:pPr>
              <w:pStyle w:val="Compact"/>
            </w:pPr>
            <w:r>
              <w:t>Number of coefficient</w:t>
            </w:r>
          </w:p>
        </w:tc>
        <w:tc>
          <w:tcPr>
            <w:tcW w:w="0" w:type="auto"/>
          </w:tcPr>
          <w:p w:rsidR="00ED22E3" w:rsidRDefault="00BE0193">
            <w:pPr>
              <w:pStyle w:val="Compact"/>
            </w:pPr>
            <w:r>
              <w:t xml:space="preserve">PSRF (mean </w:t>
            </w:r>
            <m:oMath>
              <m:r>
                <m:rPr>
                  <m:sty m:val="p"/>
                </m:rPr>
                <w:rPr>
                  <w:rFonts w:ascii="Cambria Math" w:hAnsi="Cambria Math"/>
                </w:rPr>
                <m:t>±</m:t>
              </m:r>
            </m:oMath>
            <w:r>
              <w:t xml:space="preserve"> sd)</w:t>
            </w:r>
          </w:p>
        </w:tc>
        <w:tc>
          <w:tcPr>
            <w:tcW w:w="0" w:type="auto"/>
          </w:tcPr>
          <w:p w:rsidR="00ED22E3" w:rsidRDefault="00BE0193">
            <w:pPr>
              <w:pStyle w:val="Compact"/>
            </w:pPr>
            <w:r>
              <w:t xml:space="preserve">ESS (mean </w:t>
            </w:r>
            <m:oMath>
              <m:r>
                <m:rPr>
                  <m:sty m:val="p"/>
                </m:rPr>
                <w:rPr>
                  <w:rFonts w:ascii="Cambria Math" w:hAnsi="Cambria Math"/>
                </w:rPr>
                <m:t>±</m:t>
              </m:r>
            </m:oMath>
            <w:r>
              <w:t xml:space="preserve"> sd)</w:t>
            </w:r>
          </w:p>
        </w:tc>
      </w:tr>
      <w:tr w:rsidR="00ED22E3">
        <w:tc>
          <w:tcPr>
            <w:tcW w:w="0" w:type="auto"/>
          </w:tcPr>
          <w:p w:rsidR="00ED22E3" w:rsidRDefault="00BE0193">
            <w:pPr>
              <w:pStyle w:val="Compact"/>
            </w:pPr>
            <w:r>
              <w:t>Polychaeta model - Abundance</w:t>
            </w:r>
          </w:p>
        </w:tc>
        <w:tc>
          <w:tcPr>
            <w:tcW w:w="0" w:type="auto"/>
          </w:tcPr>
          <w:p w:rsidR="00ED22E3" w:rsidRDefault="00BE0193">
            <w:pPr>
              <w:pStyle w:val="Compact"/>
            </w:pPr>
            <w:r>
              <w:t>1485</w:t>
            </w:r>
          </w:p>
        </w:tc>
        <w:tc>
          <w:tcPr>
            <w:tcW w:w="0" w:type="auto"/>
          </w:tcPr>
          <w:p w:rsidR="00ED22E3" w:rsidRDefault="00BE0193">
            <w:pPr>
              <w:pStyle w:val="Compact"/>
            </w:pPr>
            <w:r>
              <w:t xml:space="preserve">1.18 </w:t>
            </w:r>
            <m:oMath>
              <m:r>
                <m:rPr>
                  <m:sty m:val="p"/>
                </m:rPr>
                <w:rPr>
                  <w:rFonts w:ascii="Cambria Math" w:hAnsi="Cambria Math"/>
                </w:rPr>
                <m:t>±</m:t>
              </m:r>
            </m:oMath>
            <w:r>
              <w:t xml:space="preserve"> 0.267</w:t>
            </w:r>
          </w:p>
        </w:tc>
        <w:tc>
          <w:tcPr>
            <w:tcW w:w="0" w:type="auto"/>
          </w:tcPr>
          <w:p w:rsidR="00ED22E3" w:rsidRDefault="00BE0193">
            <w:pPr>
              <w:pStyle w:val="Compact"/>
            </w:pPr>
            <w:r>
              <w:t xml:space="preserve">701 </w:t>
            </w:r>
            <m:oMath>
              <m:r>
                <m:rPr>
                  <m:sty m:val="p"/>
                </m:rPr>
                <w:rPr>
                  <w:rFonts w:ascii="Cambria Math" w:hAnsi="Cambria Math"/>
                </w:rPr>
                <m:t>±</m:t>
              </m:r>
            </m:oMath>
            <w:r>
              <w:t xml:space="preserve"> 576</w:t>
            </w:r>
          </w:p>
        </w:tc>
      </w:tr>
      <w:tr w:rsidR="00ED22E3">
        <w:tc>
          <w:tcPr>
            <w:tcW w:w="0" w:type="auto"/>
          </w:tcPr>
          <w:p w:rsidR="00ED22E3" w:rsidRDefault="00BE0193">
            <w:pPr>
              <w:pStyle w:val="Compact"/>
            </w:pPr>
            <w:r>
              <w:t>Polychaeta model - Presence/Absence</w:t>
            </w:r>
          </w:p>
        </w:tc>
        <w:tc>
          <w:tcPr>
            <w:tcW w:w="0" w:type="auto"/>
          </w:tcPr>
          <w:p w:rsidR="00ED22E3" w:rsidRDefault="00BE0193">
            <w:pPr>
              <w:pStyle w:val="Compact"/>
            </w:pPr>
            <w:r>
              <w:t>1485</w:t>
            </w:r>
          </w:p>
        </w:tc>
        <w:tc>
          <w:tcPr>
            <w:tcW w:w="0" w:type="auto"/>
          </w:tcPr>
          <w:p w:rsidR="00ED22E3" w:rsidRDefault="00BE0193">
            <w:pPr>
              <w:pStyle w:val="Compact"/>
            </w:pPr>
            <w:r>
              <w:t xml:space="preserve">1.00 </w:t>
            </w:r>
            <m:oMath>
              <m:r>
                <m:rPr>
                  <m:sty m:val="p"/>
                </m:rPr>
                <w:rPr>
                  <w:rFonts w:ascii="Cambria Math" w:hAnsi="Cambria Math"/>
                </w:rPr>
                <m:t>±</m:t>
              </m:r>
            </m:oMath>
            <w:r>
              <w:t xml:space="preserve"> 0.002</w:t>
            </w:r>
          </w:p>
        </w:tc>
        <w:tc>
          <w:tcPr>
            <w:tcW w:w="0" w:type="auto"/>
          </w:tcPr>
          <w:p w:rsidR="00ED22E3" w:rsidRDefault="00BE0193">
            <w:pPr>
              <w:pStyle w:val="Compact"/>
            </w:pPr>
            <w:r>
              <w:t xml:space="preserve">4967 </w:t>
            </w:r>
            <m:oMath>
              <m:r>
                <m:rPr>
                  <m:sty m:val="p"/>
                </m:rPr>
                <w:rPr>
                  <w:rFonts w:ascii="Cambria Math" w:hAnsi="Cambria Math"/>
                </w:rPr>
                <m:t>±</m:t>
              </m:r>
            </m:oMath>
            <w:r>
              <w:t xml:space="preserve"> 417</w:t>
            </w:r>
          </w:p>
        </w:tc>
      </w:tr>
      <w:tr w:rsidR="00ED22E3">
        <w:tc>
          <w:tcPr>
            <w:tcW w:w="0" w:type="auto"/>
          </w:tcPr>
          <w:p w:rsidR="00ED22E3" w:rsidRDefault="00BE0193">
            <w:pPr>
              <w:pStyle w:val="Compact"/>
            </w:pPr>
            <w:r>
              <w:t>Phylogeny model - Abundance</w:t>
            </w:r>
          </w:p>
        </w:tc>
        <w:tc>
          <w:tcPr>
            <w:tcW w:w="0" w:type="auto"/>
          </w:tcPr>
          <w:p w:rsidR="00ED22E3" w:rsidRDefault="00BE0193">
            <w:pPr>
              <w:pStyle w:val="Compact"/>
            </w:pPr>
            <w:r>
              <w:t>1485</w:t>
            </w:r>
          </w:p>
        </w:tc>
        <w:tc>
          <w:tcPr>
            <w:tcW w:w="0" w:type="auto"/>
          </w:tcPr>
          <w:p w:rsidR="00ED22E3" w:rsidRDefault="00BE0193">
            <w:pPr>
              <w:pStyle w:val="Compact"/>
            </w:pPr>
            <w:r>
              <w:t xml:space="preserve">1.18 </w:t>
            </w:r>
            <m:oMath>
              <m:r>
                <m:rPr>
                  <m:sty m:val="p"/>
                </m:rPr>
                <w:rPr>
                  <w:rFonts w:ascii="Cambria Math" w:hAnsi="Cambria Math"/>
                </w:rPr>
                <m:t>±</m:t>
              </m:r>
            </m:oMath>
            <w:r>
              <w:t xml:space="preserve"> 0.204</w:t>
            </w:r>
          </w:p>
        </w:tc>
        <w:tc>
          <w:tcPr>
            <w:tcW w:w="0" w:type="auto"/>
          </w:tcPr>
          <w:p w:rsidR="00ED22E3" w:rsidRDefault="00BE0193">
            <w:pPr>
              <w:pStyle w:val="Compact"/>
            </w:pPr>
            <w:r>
              <w:t xml:space="preserve">566 </w:t>
            </w:r>
            <m:oMath>
              <m:r>
                <m:rPr>
                  <m:sty m:val="p"/>
                </m:rPr>
                <w:rPr>
                  <w:rFonts w:ascii="Cambria Math" w:hAnsi="Cambria Math"/>
                </w:rPr>
                <m:t>±</m:t>
              </m:r>
            </m:oMath>
            <w:r>
              <w:t xml:space="preserve"> 420</w:t>
            </w:r>
          </w:p>
        </w:tc>
      </w:tr>
      <w:tr w:rsidR="00ED22E3">
        <w:tc>
          <w:tcPr>
            <w:tcW w:w="0" w:type="auto"/>
          </w:tcPr>
          <w:p w:rsidR="00ED22E3" w:rsidRDefault="00BE0193">
            <w:pPr>
              <w:pStyle w:val="Compact"/>
            </w:pPr>
            <w:r>
              <w:t>Phylogeny - Presence/Absence</w:t>
            </w:r>
          </w:p>
        </w:tc>
        <w:tc>
          <w:tcPr>
            <w:tcW w:w="0" w:type="auto"/>
          </w:tcPr>
          <w:p w:rsidR="00ED22E3" w:rsidRDefault="00BE0193">
            <w:pPr>
              <w:pStyle w:val="Compact"/>
            </w:pPr>
            <w:r>
              <w:t>1485</w:t>
            </w:r>
          </w:p>
        </w:tc>
        <w:tc>
          <w:tcPr>
            <w:tcW w:w="0" w:type="auto"/>
          </w:tcPr>
          <w:p w:rsidR="00ED22E3" w:rsidRDefault="00BE0193">
            <w:pPr>
              <w:pStyle w:val="Compact"/>
            </w:pPr>
            <w:r>
              <w:t xml:space="preserve">1.00 </w:t>
            </w:r>
            <m:oMath>
              <m:r>
                <m:rPr>
                  <m:sty m:val="p"/>
                </m:rPr>
                <w:rPr>
                  <w:rFonts w:ascii="Cambria Math" w:hAnsi="Cambria Math"/>
                </w:rPr>
                <m:t>±</m:t>
              </m:r>
            </m:oMath>
            <w:r>
              <w:t xml:space="preserve"> 0.001</w:t>
            </w:r>
          </w:p>
        </w:tc>
        <w:tc>
          <w:tcPr>
            <w:tcW w:w="0" w:type="auto"/>
          </w:tcPr>
          <w:p w:rsidR="00ED22E3" w:rsidRDefault="00BE0193">
            <w:pPr>
              <w:pStyle w:val="Compact"/>
            </w:pPr>
            <w:r>
              <w:t xml:space="preserve">4947 </w:t>
            </w:r>
            <m:oMath>
              <m:r>
                <m:rPr>
                  <m:sty m:val="p"/>
                </m:rPr>
                <w:rPr>
                  <w:rFonts w:ascii="Cambria Math" w:hAnsi="Cambria Math"/>
                </w:rPr>
                <m:t>±</m:t>
              </m:r>
            </m:oMath>
            <w:r>
              <w:t xml:space="preserve"> 408</w:t>
            </w:r>
          </w:p>
        </w:tc>
      </w:tr>
      <w:tr w:rsidR="00ED22E3">
        <w:tc>
          <w:tcPr>
            <w:tcW w:w="0" w:type="auto"/>
          </w:tcPr>
          <w:p w:rsidR="00ED22E3" w:rsidRDefault="00BE0193">
            <w:pPr>
              <w:pStyle w:val="Compact"/>
            </w:pPr>
            <w:r>
              <w:t>Traits &amp; Phylogeny - Abundance</w:t>
            </w:r>
          </w:p>
        </w:tc>
        <w:tc>
          <w:tcPr>
            <w:tcW w:w="0" w:type="auto"/>
          </w:tcPr>
          <w:p w:rsidR="00ED22E3" w:rsidRDefault="00BE0193">
            <w:pPr>
              <w:pStyle w:val="Compact"/>
            </w:pPr>
            <w:r>
              <w:t>1485</w:t>
            </w:r>
          </w:p>
        </w:tc>
        <w:tc>
          <w:tcPr>
            <w:tcW w:w="0" w:type="auto"/>
          </w:tcPr>
          <w:p w:rsidR="00ED22E3" w:rsidRDefault="00BE0193">
            <w:pPr>
              <w:pStyle w:val="Compact"/>
            </w:pPr>
            <w:r>
              <w:t xml:space="preserve">1.21 </w:t>
            </w:r>
            <m:oMath>
              <m:r>
                <m:rPr>
                  <m:sty m:val="p"/>
                </m:rPr>
                <w:rPr>
                  <w:rFonts w:ascii="Cambria Math" w:hAnsi="Cambria Math"/>
                </w:rPr>
                <m:t>±</m:t>
              </m:r>
            </m:oMath>
            <w:r>
              <w:t xml:space="preserve"> 0.317</w:t>
            </w:r>
          </w:p>
        </w:tc>
        <w:tc>
          <w:tcPr>
            <w:tcW w:w="0" w:type="auto"/>
          </w:tcPr>
          <w:p w:rsidR="00ED22E3" w:rsidRDefault="00BE0193">
            <w:pPr>
              <w:pStyle w:val="Compact"/>
            </w:pPr>
            <w:r>
              <w:t xml:space="preserve">489 </w:t>
            </w:r>
            <m:oMath>
              <m:r>
                <m:rPr>
                  <m:sty m:val="p"/>
                </m:rPr>
                <w:rPr>
                  <w:rFonts w:ascii="Cambria Math" w:hAnsi="Cambria Math"/>
                </w:rPr>
                <m:t>±</m:t>
              </m:r>
            </m:oMath>
            <w:r>
              <w:t xml:space="preserve"> 358</w:t>
            </w:r>
          </w:p>
        </w:tc>
      </w:tr>
      <w:tr w:rsidR="00ED22E3">
        <w:tc>
          <w:tcPr>
            <w:tcW w:w="0" w:type="auto"/>
          </w:tcPr>
          <w:p w:rsidR="00ED22E3" w:rsidRDefault="00BE0193">
            <w:pPr>
              <w:pStyle w:val="Compact"/>
            </w:pPr>
            <w:r>
              <w:t>Traits &amp; Phylogeny - Presence/Absence</w:t>
            </w:r>
          </w:p>
        </w:tc>
        <w:tc>
          <w:tcPr>
            <w:tcW w:w="0" w:type="auto"/>
          </w:tcPr>
          <w:p w:rsidR="00ED22E3" w:rsidRDefault="00BE0193">
            <w:pPr>
              <w:pStyle w:val="Compact"/>
            </w:pPr>
            <w:r>
              <w:t>1485</w:t>
            </w:r>
          </w:p>
        </w:tc>
        <w:tc>
          <w:tcPr>
            <w:tcW w:w="0" w:type="auto"/>
          </w:tcPr>
          <w:p w:rsidR="00ED22E3" w:rsidRDefault="00BE0193">
            <w:pPr>
              <w:pStyle w:val="Compact"/>
            </w:pPr>
            <w:r>
              <w:t xml:space="preserve">1.00 </w:t>
            </w:r>
            <m:oMath>
              <m:r>
                <m:rPr>
                  <m:sty m:val="p"/>
                </m:rPr>
                <w:rPr>
                  <w:rFonts w:ascii="Cambria Math" w:hAnsi="Cambria Math"/>
                </w:rPr>
                <m:t>±</m:t>
              </m:r>
            </m:oMath>
            <w:r>
              <w:t xml:space="preserve"> 0.008</w:t>
            </w:r>
          </w:p>
        </w:tc>
        <w:tc>
          <w:tcPr>
            <w:tcW w:w="0" w:type="auto"/>
          </w:tcPr>
          <w:p w:rsidR="00ED22E3" w:rsidRDefault="00BE0193">
            <w:pPr>
              <w:pStyle w:val="Compact"/>
            </w:pPr>
            <w:r>
              <w:t xml:space="preserve">11459 </w:t>
            </w:r>
            <m:oMath>
              <m:r>
                <m:rPr>
                  <m:sty m:val="p"/>
                </m:rPr>
                <w:rPr>
                  <w:rFonts w:ascii="Cambria Math" w:hAnsi="Cambria Math"/>
                </w:rPr>
                <m:t>±</m:t>
              </m:r>
            </m:oMath>
            <w:r>
              <w:t xml:space="preserve"> 2649</w:t>
            </w:r>
          </w:p>
        </w:tc>
      </w:tr>
      <w:tr w:rsidR="00ED22E3">
        <w:tc>
          <w:tcPr>
            <w:tcW w:w="0" w:type="auto"/>
          </w:tcPr>
          <w:p w:rsidR="00ED22E3" w:rsidRDefault="00BE0193">
            <w:pPr>
              <w:pStyle w:val="Compact"/>
            </w:pPr>
            <w:r>
              <w:t>Whole community - Abundance</w:t>
            </w:r>
          </w:p>
        </w:tc>
        <w:tc>
          <w:tcPr>
            <w:tcW w:w="0" w:type="auto"/>
          </w:tcPr>
          <w:p w:rsidR="00ED22E3" w:rsidRDefault="00BE0193">
            <w:pPr>
              <w:pStyle w:val="Compact"/>
            </w:pPr>
            <w:r>
              <w:t>4170</w:t>
            </w:r>
          </w:p>
        </w:tc>
        <w:tc>
          <w:tcPr>
            <w:tcW w:w="0" w:type="auto"/>
          </w:tcPr>
          <w:p w:rsidR="00ED22E3" w:rsidRDefault="00BE0193">
            <w:pPr>
              <w:pStyle w:val="Compact"/>
            </w:pPr>
            <w:r>
              <w:t xml:space="preserve">1.21 </w:t>
            </w:r>
            <m:oMath>
              <m:r>
                <m:rPr>
                  <m:sty m:val="p"/>
                </m:rPr>
                <w:rPr>
                  <w:rFonts w:ascii="Cambria Math" w:hAnsi="Cambria Math"/>
                </w:rPr>
                <m:t>±</m:t>
              </m:r>
            </m:oMath>
            <w:r>
              <w:t xml:space="preserve"> 0.287</w:t>
            </w:r>
          </w:p>
        </w:tc>
        <w:tc>
          <w:tcPr>
            <w:tcW w:w="0" w:type="auto"/>
          </w:tcPr>
          <w:p w:rsidR="00ED22E3" w:rsidRDefault="00BE0193">
            <w:pPr>
              <w:pStyle w:val="Compact"/>
            </w:pPr>
            <w:r>
              <w:t xml:space="preserve">739 </w:t>
            </w:r>
            <m:oMath>
              <m:r>
                <m:rPr>
                  <m:sty m:val="p"/>
                </m:rPr>
                <w:rPr>
                  <w:rFonts w:ascii="Cambria Math" w:hAnsi="Cambria Math"/>
                </w:rPr>
                <m:t>±</m:t>
              </m:r>
            </m:oMath>
            <w:r>
              <w:t xml:space="preserve"> 631</w:t>
            </w:r>
          </w:p>
        </w:tc>
      </w:tr>
      <w:tr w:rsidR="00ED22E3">
        <w:tc>
          <w:tcPr>
            <w:tcW w:w="0" w:type="auto"/>
          </w:tcPr>
          <w:p w:rsidR="00ED22E3" w:rsidRDefault="00BE0193">
            <w:pPr>
              <w:pStyle w:val="Compact"/>
            </w:pPr>
            <w:r>
              <w:t>Whole community - Presence/Absence</w:t>
            </w:r>
          </w:p>
        </w:tc>
        <w:tc>
          <w:tcPr>
            <w:tcW w:w="0" w:type="auto"/>
          </w:tcPr>
          <w:p w:rsidR="00ED22E3" w:rsidRDefault="00BE0193">
            <w:pPr>
              <w:pStyle w:val="Compact"/>
            </w:pPr>
            <w:r>
              <w:t>4170</w:t>
            </w:r>
          </w:p>
        </w:tc>
        <w:tc>
          <w:tcPr>
            <w:tcW w:w="0" w:type="auto"/>
          </w:tcPr>
          <w:p w:rsidR="00ED22E3" w:rsidRDefault="00BE0193">
            <w:pPr>
              <w:pStyle w:val="Compact"/>
            </w:pPr>
            <w:r>
              <w:t xml:space="preserve">1.00 </w:t>
            </w:r>
            <m:oMath>
              <m:r>
                <m:rPr>
                  <m:sty m:val="p"/>
                </m:rPr>
                <w:rPr>
                  <w:rFonts w:ascii="Cambria Math" w:hAnsi="Cambria Math"/>
                </w:rPr>
                <m:t>±</m:t>
              </m:r>
            </m:oMath>
            <w:r>
              <w:t xml:space="preserve"> 0.002</w:t>
            </w:r>
          </w:p>
        </w:tc>
        <w:tc>
          <w:tcPr>
            <w:tcW w:w="0" w:type="auto"/>
          </w:tcPr>
          <w:p w:rsidR="00ED22E3" w:rsidRDefault="00BE0193">
            <w:pPr>
              <w:pStyle w:val="Compact"/>
            </w:pPr>
            <w:r>
              <w:t xml:space="preserve">4962 </w:t>
            </w:r>
            <m:oMath>
              <m:r>
                <m:rPr>
                  <m:sty m:val="p"/>
                </m:rPr>
                <w:rPr>
                  <w:rFonts w:ascii="Cambria Math" w:hAnsi="Cambria Math"/>
                </w:rPr>
                <m:t>±</m:t>
              </m:r>
            </m:oMath>
            <w:r>
              <w:t xml:space="preserve"> 406</w:t>
            </w:r>
          </w:p>
        </w:tc>
      </w:tr>
    </w:tbl>
    <w:p w:rsidR="00ED22E3" w:rsidRDefault="00BE0193">
      <w:pPr>
        <w:pStyle w:val="Corpsdetexte"/>
      </w:pPr>
      <w:r>
        <w:rPr>
          <w:noProof/>
        </w:rPr>
        <w:drawing>
          <wp:inline distT="0" distB="0" distL="0" distR="0">
            <wp:extent cx="5334000" cy="4000022"/>
            <wp:effectExtent l="0" t="0" r="0" b="0"/>
            <wp:docPr id="189" name="Picture" descr="Figure S 16: Density curve of potential scale reduction factors (PSRF see Brooks &amp; Gelman (1998); left panel) and effective sample sizes (ESS; right panel) for Beta regression parameters (i.e environmental coefficients) estimated for the benchmark model fitted with abundance data. For PSRF, values greater than 1.2 (dotted red line) indicate potential convergence issues. ESS estimates the number of independent samples used to estimate each parameter (the more the better)."/>
            <wp:cNvGraphicFramePr/>
            <a:graphic xmlns:a="http://schemas.openxmlformats.org/drawingml/2006/main">
              <a:graphicData uri="http://schemas.openxmlformats.org/drawingml/2006/picture">
                <pic:pic xmlns:pic="http://schemas.openxmlformats.org/drawingml/2006/picture">
                  <pic:nvPicPr>
                    <pic:cNvPr id="190" name="Picture" descr="media/rId84.png"/>
                    <pic:cNvPicPr>
                      <a:picLocks noChangeAspect="1" noChangeArrowheads="1"/>
                    </pic:cNvPicPr>
                  </pic:nvPicPr>
                  <pic:blipFill>
                    <a:blip r:embed="rId106"/>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16: Density curve of potential scale reduction factors (PSRF see Brooks &amp; Gelman (1998); left panel) and effective sample sizes (ESS; right panel) for Beta regression parameters (i</w:t>
      </w:r>
      <w:r>
        <w:t xml:space="preserve">.e environmental coefficients) estimated for the benchmark model fitted with </w:t>
      </w:r>
      <w:r>
        <w:lastRenderedPageBreak/>
        <w:t>abundance data. For PSRF, values greater than 1.2 (dotted red line) indicate potential convergence issues. ESS estimates the number of independent samples used to estimate each pa</w:t>
      </w:r>
      <w:r>
        <w:t>rameter (the more the better).</w:t>
      </w:r>
    </w:p>
    <w:p w:rsidR="00ED22E3" w:rsidRDefault="00BE0193">
      <w:pPr>
        <w:pStyle w:val="Corpsdetexte"/>
      </w:pPr>
      <w:r>
        <w:rPr>
          <w:noProof/>
        </w:rPr>
        <w:drawing>
          <wp:inline distT="0" distB="0" distL="0" distR="0">
            <wp:extent cx="5334000" cy="4000022"/>
            <wp:effectExtent l="0" t="0" r="0" b="0"/>
            <wp:docPr id="192" name="Picture" descr="Figure S 17: Density curve of potential scale reduction factors (PSRF see Brooks &amp; Gelman (1998); left panel) and effective sample sizes (ESS; right panel) for Beta regression parameters (i.e environmental coefficients) estimated for the benchmark model fitted with presence/absence data. For further details see Fig. S12."/>
            <wp:cNvGraphicFramePr/>
            <a:graphic xmlns:a="http://schemas.openxmlformats.org/drawingml/2006/main">
              <a:graphicData uri="http://schemas.openxmlformats.org/drawingml/2006/picture">
                <pic:pic xmlns:pic="http://schemas.openxmlformats.org/drawingml/2006/picture">
                  <pic:nvPicPr>
                    <pic:cNvPr id="193" name="Picture" descr="media/rId88.png"/>
                    <pic:cNvPicPr>
                      <a:picLocks noChangeAspect="1" noChangeArrowheads="1"/>
                    </pic:cNvPicPr>
                  </pic:nvPicPr>
                  <pic:blipFill>
                    <a:blip r:embed="rId107"/>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17: Density curve of potential scale reduction factors (PSRF see Brooks &amp; Gelman (1998); left panel) and effective sample sizes (ESS; right panel) for Beta regression parameters (i.e environmental coefficients) est</w:t>
      </w:r>
      <w:r>
        <w:t>imated for the benchmark model fitted with presence/absence data. For further details see Fig. S12.</w:t>
      </w:r>
    </w:p>
    <w:p w:rsidR="00ED22E3" w:rsidRDefault="00BE0193">
      <w:pPr>
        <w:pStyle w:val="Corpsdetexte"/>
      </w:pPr>
      <w:r>
        <w:rPr>
          <w:noProof/>
        </w:rPr>
        <w:lastRenderedPageBreak/>
        <w:drawing>
          <wp:inline distT="0" distB="0" distL="0" distR="0">
            <wp:extent cx="5334000" cy="4000022"/>
            <wp:effectExtent l="0" t="0" r="0" b="0"/>
            <wp:docPr id="195" name="Picture" descr="Figure S 18: Density curve of potential scale reduction factors (PSRF see Brooks &amp; Gelman (1998); left panel) and effective sample sizes (ESS; right panel) for Beta regression parameters (i.e environmental coefficients) estimated for the phylogeny model fitted with abundance data. For further details see Fig. S12."/>
            <wp:cNvGraphicFramePr/>
            <a:graphic xmlns:a="http://schemas.openxmlformats.org/drawingml/2006/main">
              <a:graphicData uri="http://schemas.openxmlformats.org/drawingml/2006/picture">
                <pic:pic xmlns:pic="http://schemas.openxmlformats.org/drawingml/2006/picture">
                  <pic:nvPicPr>
                    <pic:cNvPr id="196" name="Picture" descr="media/rId92.png"/>
                    <pic:cNvPicPr>
                      <a:picLocks noChangeAspect="1" noChangeArrowheads="1"/>
                    </pic:cNvPicPr>
                  </pic:nvPicPr>
                  <pic:blipFill>
                    <a:blip r:embed="rId108"/>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18: Density curve of potential scale reduction factors (PSRF see Brooks &amp; Gelman (1998); left panel) and effective sample sizes (ESS; right panel</w:t>
      </w:r>
      <w:r>
        <w:t>) for Beta regression parameters (i.e environmental coefficients) estimated for the phylogeny model fitted with abundance data. For further details see Fig. S12.</w:t>
      </w:r>
    </w:p>
    <w:p w:rsidR="00ED22E3" w:rsidRDefault="00BE0193">
      <w:pPr>
        <w:pStyle w:val="Corpsdetexte"/>
      </w:pPr>
      <w:r>
        <w:rPr>
          <w:noProof/>
        </w:rPr>
        <w:lastRenderedPageBreak/>
        <w:drawing>
          <wp:inline distT="0" distB="0" distL="0" distR="0">
            <wp:extent cx="5334000" cy="4000022"/>
            <wp:effectExtent l="0" t="0" r="0" b="0"/>
            <wp:docPr id="198" name="Picture" descr="Figure S 19: Density curve of potential scale reduction factors (PSRF see Brooks &amp; Gelman (1998); left panel) and effective sample sizes (ESS; right panel) for Beta regression parameters (i.e environmental coefficients) estimated for the phylogeny model fitted with presence/absence data. For further details see Fig. S12."/>
            <wp:cNvGraphicFramePr/>
            <a:graphic xmlns:a="http://schemas.openxmlformats.org/drawingml/2006/main">
              <a:graphicData uri="http://schemas.openxmlformats.org/drawingml/2006/picture">
                <pic:pic xmlns:pic="http://schemas.openxmlformats.org/drawingml/2006/picture">
                  <pic:nvPicPr>
                    <pic:cNvPr id="199" name="Picture" descr="media/rId96.png"/>
                    <pic:cNvPicPr>
                      <a:picLocks noChangeAspect="1" noChangeArrowheads="1"/>
                    </pic:cNvPicPr>
                  </pic:nvPicPr>
                  <pic:blipFill>
                    <a:blip r:embed="rId109"/>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19: Density curve of potential scale reduction factors (PSRF see Brooks &amp; Gelman (1</w:t>
      </w:r>
      <w:r>
        <w:t>998); left panel) and effective sample sizes (ESS; right panel) for Beta regression parameters (i.e environmental coefficients) estimated for the phylogeny model fitted with presence/absence data. For further details see Fig. S12.</w:t>
      </w:r>
    </w:p>
    <w:p w:rsidR="00ED22E3" w:rsidRDefault="00BE0193">
      <w:pPr>
        <w:pStyle w:val="Corpsdetexte"/>
      </w:pPr>
      <w:r>
        <w:rPr>
          <w:noProof/>
        </w:rPr>
        <w:lastRenderedPageBreak/>
        <w:drawing>
          <wp:inline distT="0" distB="0" distL="0" distR="0">
            <wp:extent cx="5334000" cy="4000022"/>
            <wp:effectExtent l="0" t="0" r="0" b="0"/>
            <wp:docPr id="201" name="Picture" descr="Figure S 20: Density curve of potential scale reduction factors (PSRF see Brooks &amp; Gelman (1998); left panel) and effective sample sizes (ESS; right panel) for Beta regression parameters (i.e environmental coefficients) estimated for the traits &amp; phylogeny model fitted with abundance data. For further details see Fig. S12."/>
            <wp:cNvGraphicFramePr/>
            <a:graphic xmlns:a="http://schemas.openxmlformats.org/drawingml/2006/main">
              <a:graphicData uri="http://schemas.openxmlformats.org/drawingml/2006/picture">
                <pic:pic xmlns:pic="http://schemas.openxmlformats.org/drawingml/2006/picture">
                  <pic:nvPicPr>
                    <pic:cNvPr id="202" name="Picture" descr="media/rId100.png"/>
                    <pic:cNvPicPr>
                      <a:picLocks noChangeAspect="1" noChangeArrowheads="1"/>
                    </pic:cNvPicPr>
                  </pic:nvPicPr>
                  <pic:blipFill>
                    <a:blip r:embed="rId110"/>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20: Density cu</w:t>
      </w:r>
      <w:r>
        <w:t>rve of potential scale reduction factors (PSRF see Brooks &amp; Gelman (1998); left panel) and effective sample sizes (ESS; right panel) for Beta regression parameters (i.e environmental coefficients) estimated for the traits &amp; phylogeny model fitted with abun</w:t>
      </w:r>
      <w:r>
        <w:t>dance data. For further details see Fig. S12.</w:t>
      </w:r>
    </w:p>
    <w:p w:rsidR="00ED22E3" w:rsidRDefault="00BE0193">
      <w:pPr>
        <w:pStyle w:val="Corpsdetexte"/>
      </w:pPr>
      <w:r>
        <w:rPr>
          <w:noProof/>
        </w:rPr>
        <w:lastRenderedPageBreak/>
        <w:drawing>
          <wp:inline distT="0" distB="0" distL="0" distR="0">
            <wp:extent cx="5334000" cy="4000022"/>
            <wp:effectExtent l="0" t="0" r="0" b="0"/>
            <wp:docPr id="204" name="Picture" descr="Figure S 21: Density curve of potential scale reduction factors (PSRF see Brooks &amp; Gelman (1998); left panel) and effective sample sizes (ESS; right panel) for Beta regression parameters (i.e environmental coefficients) estimated for the traits &amp; phylogeny model fitted with presence/absence data. For further details see Fig. S12."/>
            <wp:cNvGraphicFramePr/>
            <a:graphic xmlns:a="http://schemas.openxmlformats.org/drawingml/2006/main">
              <a:graphicData uri="http://schemas.openxmlformats.org/drawingml/2006/picture">
                <pic:pic xmlns:pic="http://schemas.openxmlformats.org/drawingml/2006/picture">
                  <pic:nvPicPr>
                    <pic:cNvPr id="205" name="Picture" descr="media/rId104.png"/>
                    <pic:cNvPicPr>
                      <a:picLocks noChangeAspect="1" noChangeArrowheads="1"/>
                    </pic:cNvPicPr>
                  </pic:nvPicPr>
                  <pic:blipFill>
                    <a:blip r:embed="rId111"/>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21: Density curve of potential scale reduction factors (PSRF see Brooks &amp; Gelman (1998); left panel) and effective sample sizes (ESS; right panel) for Beta regression parameters (i.e environmental co</w:t>
      </w:r>
      <w:r>
        <w:t>efficients) estimated for the traits &amp; phylogeny model fitted with presence/absence data. For further details see Fig. S12.</w:t>
      </w:r>
    </w:p>
    <w:p w:rsidR="00ED22E3" w:rsidRDefault="00BE0193">
      <w:pPr>
        <w:pStyle w:val="Corpsdetexte"/>
      </w:pPr>
      <w:r>
        <w:rPr>
          <w:noProof/>
        </w:rPr>
        <w:lastRenderedPageBreak/>
        <w:drawing>
          <wp:inline distT="0" distB="0" distL="0" distR="0">
            <wp:extent cx="5334000" cy="4000022"/>
            <wp:effectExtent l="0" t="0" r="0" b="0"/>
            <wp:docPr id="207" name="Picture" descr="Figure S 22: Density curve of potential scale reduction factors (PSRF see Brooks &amp; Gelman (1998); left panel) and effective sample sizes (ESS; right panel) for Beta regression parameters (i.e environmental coefficients) estimated for the whole community model fitted with abundance data. For further details see Fig. S12."/>
            <wp:cNvGraphicFramePr/>
            <a:graphic xmlns:a="http://schemas.openxmlformats.org/drawingml/2006/main">
              <a:graphicData uri="http://schemas.openxmlformats.org/drawingml/2006/picture">
                <pic:pic xmlns:pic="http://schemas.openxmlformats.org/drawingml/2006/picture">
                  <pic:nvPicPr>
                    <pic:cNvPr id="208" name="Picture" descr="media/rId108.png"/>
                    <pic:cNvPicPr>
                      <a:picLocks noChangeAspect="1" noChangeArrowheads="1"/>
                    </pic:cNvPicPr>
                  </pic:nvPicPr>
                  <pic:blipFill>
                    <a:blip r:embed="rId112"/>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22: Density curve of potential scale reduction factors (PSRF see Brooks &amp; Gelman (1998); left panel) and effective sample</w:t>
      </w:r>
      <w:r>
        <w:t xml:space="preserve"> sizes (ESS; right panel) for Beta regression parameters (i.e environmental coefficients) estimated for the whole community model fitted with abundance data. For further details see Fig. S12.</w:t>
      </w:r>
    </w:p>
    <w:p w:rsidR="00ED22E3" w:rsidRDefault="00BE0193">
      <w:pPr>
        <w:pStyle w:val="Corpsdetexte"/>
      </w:pPr>
      <w:r>
        <w:rPr>
          <w:noProof/>
        </w:rPr>
        <w:lastRenderedPageBreak/>
        <w:drawing>
          <wp:inline distT="0" distB="0" distL="0" distR="0">
            <wp:extent cx="5334000" cy="4000022"/>
            <wp:effectExtent l="0" t="0" r="0" b="0"/>
            <wp:docPr id="210" name="Picture" descr="Figure S 23: Density curve of potential scale reduction factors (PSRF see Brooks &amp; Gelman (1998); left panel) and effective sample sizes (ESS; right panel) for Beta regression parameters (i.e environmental coefficients) estimated for the whole community model fitted with presence/absence data. For further details see Fig. S12."/>
            <wp:cNvGraphicFramePr/>
            <a:graphic xmlns:a="http://schemas.openxmlformats.org/drawingml/2006/main">
              <a:graphicData uri="http://schemas.openxmlformats.org/drawingml/2006/picture">
                <pic:pic xmlns:pic="http://schemas.openxmlformats.org/drawingml/2006/picture">
                  <pic:nvPicPr>
                    <pic:cNvPr id="211" name="Picture" descr="media/rId112.png"/>
                    <pic:cNvPicPr>
                      <a:picLocks noChangeAspect="1" noChangeArrowheads="1"/>
                    </pic:cNvPicPr>
                  </pic:nvPicPr>
                  <pic:blipFill>
                    <a:blip r:embed="rId113"/>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23: Density curve of potential scale reduction factors (PSRF see Brooks &amp; Gelman (1998); left panel) and effective sample sizes (ESS; right panel) for Beta regression parameters (i.e environmental coefficients) estimated for the whole community mo</w:t>
      </w:r>
      <w:r>
        <w:t>del fitted with presence/absence data. For further details see Fig. S12.</w:t>
      </w:r>
    </w:p>
    <w:p w:rsidR="00ED22E3" w:rsidRDefault="00BE0193">
      <w:pPr>
        <w:pStyle w:val="Titre3"/>
      </w:pPr>
      <w:bookmarkStart w:id="33" w:name="traits-coefficients"/>
      <w:bookmarkEnd w:id="32"/>
      <w:r>
        <w:t>Traits coefficients</w:t>
      </w:r>
    </w:p>
    <w:p w:rsidR="00ED22E3" w:rsidRDefault="00BE0193">
      <w:pPr>
        <w:pStyle w:val="FirstParagraph"/>
      </w:pPr>
      <w:r>
        <w:t>Table S 2: Potential scale reduction factors (PSRF) and effective sample sizes (ESS) for traits regression parameters (i.e gamma coefficients) estimated for the mo</w:t>
      </w:r>
      <w:r>
        <w:t>dels including phylogeny data. For further details see Fig. S20 to Fig. S21.</w:t>
      </w:r>
    </w:p>
    <w:p w:rsidR="00ED22E3" w:rsidRDefault="00BE0193">
      <w:pPr>
        <w:pStyle w:val="TableCaption"/>
      </w:pPr>
      <w:r>
        <w:t>Table S 2: Potential scale reduction factors (PSRF) and effective sample sizes (ESS) for traits regression parameters (i.e gamma coefficients) estimated for the models including p</w:t>
      </w:r>
      <w:r>
        <w:t xml:space="preserve">hylogeny data. For further details see Fig. S20 to Fig. S21. </w:t>
      </w:r>
    </w:p>
    <w:tbl>
      <w:tblPr>
        <w:tblStyle w:val="Table"/>
        <w:tblW w:w="5000" w:type="pct"/>
        <w:tblLook w:val="0020" w:firstRow="1" w:lastRow="0" w:firstColumn="0" w:lastColumn="0" w:noHBand="0" w:noVBand="0"/>
        <w:tblCaption w:val="Table S 2: Potential scale reduction factors (PSRF) and effective sample sizes (ESS) for traits regression parameters (i.e gamma coefficients) estimated for the models including phylogeny data. For further details see Fig. S20 to Fig. S21. "/>
      </w:tblPr>
      <w:tblGrid>
        <w:gridCol w:w="3849"/>
        <w:gridCol w:w="2211"/>
        <w:gridCol w:w="1844"/>
        <w:gridCol w:w="1718"/>
      </w:tblGrid>
      <w:tr w:rsidR="00ED22E3" w:rsidTr="00ED22E3">
        <w:trPr>
          <w:cnfStyle w:val="100000000000" w:firstRow="1" w:lastRow="0" w:firstColumn="0" w:lastColumn="0" w:oddVBand="0" w:evenVBand="0" w:oddHBand="0" w:evenHBand="0" w:firstRowFirstColumn="0" w:firstRowLastColumn="0" w:lastRowFirstColumn="0" w:lastRowLastColumn="0"/>
          <w:tblHeader/>
        </w:trPr>
        <w:tc>
          <w:tcPr>
            <w:tcW w:w="0" w:type="auto"/>
          </w:tcPr>
          <w:p w:rsidR="00ED22E3" w:rsidRDefault="00BE0193">
            <w:pPr>
              <w:pStyle w:val="Compact"/>
            </w:pPr>
            <w:r>
              <w:t>Model</w:t>
            </w:r>
          </w:p>
        </w:tc>
        <w:tc>
          <w:tcPr>
            <w:tcW w:w="0" w:type="auto"/>
          </w:tcPr>
          <w:p w:rsidR="00ED22E3" w:rsidRDefault="00BE0193">
            <w:pPr>
              <w:pStyle w:val="Compact"/>
            </w:pPr>
            <w:r>
              <w:t>Number of coefficient</w:t>
            </w:r>
          </w:p>
        </w:tc>
        <w:tc>
          <w:tcPr>
            <w:tcW w:w="0" w:type="auto"/>
          </w:tcPr>
          <w:p w:rsidR="00ED22E3" w:rsidRDefault="00BE0193">
            <w:pPr>
              <w:pStyle w:val="Compact"/>
            </w:pPr>
            <w:r>
              <w:t xml:space="preserve">PSRF (mean </w:t>
            </w:r>
            <m:oMath>
              <m:r>
                <m:rPr>
                  <m:sty m:val="p"/>
                </m:rPr>
                <w:rPr>
                  <w:rFonts w:ascii="Cambria Math" w:hAnsi="Cambria Math"/>
                </w:rPr>
                <m:t>±</m:t>
              </m:r>
            </m:oMath>
            <w:r>
              <w:t xml:space="preserve"> sd)</w:t>
            </w:r>
          </w:p>
        </w:tc>
        <w:tc>
          <w:tcPr>
            <w:tcW w:w="0" w:type="auto"/>
          </w:tcPr>
          <w:p w:rsidR="00ED22E3" w:rsidRDefault="00BE0193">
            <w:pPr>
              <w:pStyle w:val="Compact"/>
            </w:pPr>
            <w:r>
              <w:t xml:space="preserve">ESS (mean </w:t>
            </w:r>
            <m:oMath>
              <m:r>
                <m:rPr>
                  <m:sty m:val="p"/>
                </m:rPr>
                <w:rPr>
                  <w:rFonts w:ascii="Cambria Math" w:hAnsi="Cambria Math"/>
                </w:rPr>
                <m:t>±</m:t>
              </m:r>
            </m:oMath>
            <w:r>
              <w:t xml:space="preserve"> sd)</w:t>
            </w:r>
          </w:p>
        </w:tc>
      </w:tr>
      <w:tr w:rsidR="00ED22E3">
        <w:tc>
          <w:tcPr>
            <w:tcW w:w="0" w:type="auto"/>
          </w:tcPr>
          <w:p w:rsidR="00ED22E3" w:rsidRDefault="00BE0193">
            <w:pPr>
              <w:pStyle w:val="Compact"/>
            </w:pPr>
            <w:r>
              <w:t>Traits &amp; Phylogeny - Abundance</w:t>
            </w:r>
          </w:p>
        </w:tc>
        <w:tc>
          <w:tcPr>
            <w:tcW w:w="0" w:type="auto"/>
          </w:tcPr>
          <w:p w:rsidR="00ED22E3" w:rsidRDefault="00BE0193">
            <w:pPr>
              <w:pStyle w:val="Compact"/>
            </w:pPr>
            <w:r>
              <w:t>60</w:t>
            </w:r>
          </w:p>
        </w:tc>
        <w:tc>
          <w:tcPr>
            <w:tcW w:w="0" w:type="auto"/>
          </w:tcPr>
          <w:p w:rsidR="00ED22E3" w:rsidRDefault="00BE0193">
            <w:pPr>
              <w:pStyle w:val="Compact"/>
            </w:pPr>
            <w:r>
              <w:t xml:space="preserve">1.08 </w:t>
            </w:r>
            <m:oMath>
              <m:r>
                <m:rPr>
                  <m:sty m:val="p"/>
                </m:rPr>
                <w:rPr>
                  <w:rFonts w:ascii="Cambria Math" w:hAnsi="Cambria Math"/>
                </w:rPr>
                <m:t>±</m:t>
              </m:r>
            </m:oMath>
            <w:r>
              <w:t xml:space="preserve"> 0.092</w:t>
            </w:r>
          </w:p>
        </w:tc>
        <w:tc>
          <w:tcPr>
            <w:tcW w:w="0" w:type="auto"/>
          </w:tcPr>
          <w:p w:rsidR="00ED22E3" w:rsidRDefault="00BE0193">
            <w:pPr>
              <w:pStyle w:val="Compact"/>
            </w:pPr>
            <w:r>
              <w:t xml:space="preserve">1232 </w:t>
            </w:r>
            <m:oMath>
              <m:r>
                <m:rPr>
                  <m:sty m:val="p"/>
                </m:rPr>
                <w:rPr>
                  <w:rFonts w:ascii="Cambria Math" w:hAnsi="Cambria Math"/>
                </w:rPr>
                <m:t>±</m:t>
              </m:r>
            </m:oMath>
            <w:r>
              <w:t xml:space="preserve"> 1209</w:t>
            </w:r>
          </w:p>
        </w:tc>
      </w:tr>
      <w:tr w:rsidR="00ED22E3">
        <w:tc>
          <w:tcPr>
            <w:tcW w:w="0" w:type="auto"/>
          </w:tcPr>
          <w:p w:rsidR="00ED22E3" w:rsidRDefault="00BE0193">
            <w:pPr>
              <w:pStyle w:val="Compact"/>
            </w:pPr>
            <w:r>
              <w:t>Traits &amp; Phylogeny - Presence/Absence</w:t>
            </w:r>
          </w:p>
        </w:tc>
        <w:tc>
          <w:tcPr>
            <w:tcW w:w="0" w:type="auto"/>
          </w:tcPr>
          <w:p w:rsidR="00ED22E3" w:rsidRDefault="00BE0193">
            <w:pPr>
              <w:pStyle w:val="Compact"/>
            </w:pPr>
            <w:r>
              <w:t>60</w:t>
            </w:r>
          </w:p>
        </w:tc>
        <w:tc>
          <w:tcPr>
            <w:tcW w:w="0" w:type="auto"/>
          </w:tcPr>
          <w:p w:rsidR="00ED22E3" w:rsidRDefault="00BE0193">
            <w:pPr>
              <w:pStyle w:val="Compact"/>
            </w:pPr>
            <w:r>
              <w:t xml:space="preserve">1.00 </w:t>
            </w:r>
            <m:oMath>
              <m:r>
                <m:rPr>
                  <m:sty m:val="p"/>
                </m:rPr>
                <w:rPr>
                  <w:rFonts w:ascii="Cambria Math" w:hAnsi="Cambria Math"/>
                </w:rPr>
                <m:t>±</m:t>
              </m:r>
            </m:oMath>
            <w:r>
              <w:t xml:space="preserve"> 0.001</w:t>
            </w:r>
          </w:p>
        </w:tc>
        <w:tc>
          <w:tcPr>
            <w:tcW w:w="0" w:type="auto"/>
          </w:tcPr>
          <w:p w:rsidR="00ED22E3" w:rsidRDefault="00BE0193">
            <w:pPr>
              <w:pStyle w:val="Compact"/>
            </w:pPr>
            <w:r>
              <w:t xml:space="preserve">13227 </w:t>
            </w:r>
            <m:oMath>
              <m:r>
                <m:rPr>
                  <m:sty m:val="p"/>
                </m:rPr>
                <w:rPr>
                  <w:rFonts w:ascii="Cambria Math" w:hAnsi="Cambria Math"/>
                </w:rPr>
                <m:t>±</m:t>
              </m:r>
            </m:oMath>
            <w:r>
              <w:t xml:space="preserve"> 1897</w:t>
            </w:r>
          </w:p>
        </w:tc>
      </w:tr>
    </w:tbl>
    <w:p w:rsidR="00ED22E3" w:rsidRDefault="00BE0193">
      <w:pPr>
        <w:pStyle w:val="Corpsdetexte"/>
      </w:pPr>
      <w:r>
        <w:rPr>
          <w:noProof/>
        </w:rPr>
        <w:lastRenderedPageBreak/>
        <w:drawing>
          <wp:inline distT="0" distB="0" distL="0" distR="0">
            <wp:extent cx="5334000" cy="4000022"/>
            <wp:effectExtent l="0" t="0" r="0" b="0"/>
            <wp:docPr id="214" name="Picture" descr="Figure S 24: Density curve of potential scale reduction factors (PSRF see Brooks &amp; Gelman (1998); left panel) and effective sample sizes (ESS; right panel) for Gamma regression parameters (i.e environmental coefficients) estimated for the traits &amp; phylogeny model fitted with abundance data. For further details see Fig. S12."/>
            <wp:cNvGraphicFramePr/>
            <a:graphic xmlns:a="http://schemas.openxmlformats.org/drawingml/2006/main">
              <a:graphicData uri="http://schemas.openxmlformats.org/drawingml/2006/picture">
                <pic:pic xmlns:pic="http://schemas.openxmlformats.org/drawingml/2006/picture">
                  <pic:nvPicPr>
                    <pic:cNvPr id="215" name="Picture" descr="media/rId118.png"/>
                    <pic:cNvPicPr>
                      <a:picLocks noChangeAspect="1" noChangeArrowheads="1"/>
                    </pic:cNvPicPr>
                  </pic:nvPicPr>
                  <pic:blipFill>
                    <a:blip r:embed="rId114"/>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24: Density curve of potential scale reduction factors (PSRF see Brooks &amp; Gelman (1998); left panel) and effective sample sizes (ESS; right panel) for Gamma regression parameters (i.e environmental coefficients) estimated for the traits &amp; phylogen</w:t>
      </w:r>
      <w:r>
        <w:t>y model fitted with abundance data. For further details see Fig. S12.</w:t>
      </w:r>
    </w:p>
    <w:p w:rsidR="00ED22E3" w:rsidRDefault="00BE0193">
      <w:pPr>
        <w:pStyle w:val="Corpsdetexte"/>
      </w:pPr>
      <w:r>
        <w:rPr>
          <w:noProof/>
        </w:rPr>
        <w:lastRenderedPageBreak/>
        <w:drawing>
          <wp:inline distT="0" distB="0" distL="0" distR="0">
            <wp:extent cx="5334000" cy="4000022"/>
            <wp:effectExtent l="0" t="0" r="0" b="0"/>
            <wp:docPr id="217" name="Picture" descr="Figure S 25: Density curve of potential scale reduction factors (PSRF see Brooks &amp; Gelman (1998); left panel) and effective sample sizes (ESS; right panel) for Gamma regression parameters (i.e environmental coefficients) estimated for the traits &amp; phylogeny model fitted with presence/absence data. For further details see Fig. S12."/>
            <wp:cNvGraphicFramePr/>
            <a:graphic xmlns:a="http://schemas.openxmlformats.org/drawingml/2006/main">
              <a:graphicData uri="http://schemas.openxmlformats.org/drawingml/2006/picture">
                <pic:pic xmlns:pic="http://schemas.openxmlformats.org/drawingml/2006/picture">
                  <pic:nvPicPr>
                    <pic:cNvPr id="218" name="Picture" descr="media/rId122.png"/>
                    <pic:cNvPicPr>
                      <a:picLocks noChangeAspect="1" noChangeArrowheads="1"/>
                    </pic:cNvPicPr>
                  </pic:nvPicPr>
                  <pic:blipFill>
                    <a:blip r:embed="rId115"/>
                    <a:stretch>
                      <a:fillRect/>
                    </a:stretch>
                  </pic:blipFill>
                  <pic:spPr bwMode="auto">
                    <a:xfrm>
                      <a:off x="0" y="0"/>
                      <a:ext cx="5334000" cy="4000022"/>
                    </a:xfrm>
                    <a:prstGeom prst="rect">
                      <a:avLst/>
                    </a:prstGeom>
                    <a:noFill/>
                    <a:ln w="9525">
                      <a:noFill/>
                      <a:headEnd/>
                      <a:tailEnd/>
                    </a:ln>
                  </pic:spPr>
                </pic:pic>
              </a:graphicData>
            </a:graphic>
          </wp:inline>
        </w:drawing>
      </w:r>
    </w:p>
    <w:p w:rsidR="00ED22E3" w:rsidRDefault="00BE0193">
      <w:pPr>
        <w:pStyle w:val="Corpsdetexte"/>
      </w:pPr>
      <w:r>
        <w:t>Figure S 25: Density curve of potential scale reduction factors (PSRF see Brooks &amp; Gelman (1998); left panel) and effective sample sizes (ESS; right panel) for Gamma regression paramet</w:t>
      </w:r>
      <w:r>
        <w:t>ers (i.e environmental coefficients) estimated for the traits &amp; phylogeny model fitted with presence/absence data. For further details see Fig. S12.</w:t>
      </w:r>
    </w:p>
    <w:p w:rsidR="00ED22E3" w:rsidRDefault="00BE0193">
      <w:pPr>
        <w:pStyle w:val="Titre3"/>
      </w:pPr>
      <w:bookmarkStart w:id="34" w:name="phylogeny-coefficients"/>
      <w:bookmarkEnd w:id="33"/>
      <w:r>
        <w:t>Phylogeny coefficients</w:t>
      </w:r>
    </w:p>
    <w:p w:rsidR="00ED22E3" w:rsidRDefault="00BE0193">
      <w:pPr>
        <w:pStyle w:val="FirstParagraph"/>
      </w:pPr>
      <w:r>
        <w:t>Table S 3: Potential scale reduction factors (PSRF) and effective sample sizes (ESS)</w:t>
      </w:r>
      <w:r>
        <w:t xml:space="preserve"> for rho regression parameters (i.e phylogeny coefficient) estimated for the models including phylogeny data. For further details see Fig. S12.</w:t>
      </w:r>
    </w:p>
    <w:p w:rsidR="00ED22E3" w:rsidRDefault="00BE0193">
      <w:pPr>
        <w:pStyle w:val="TableCaption"/>
      </w:pPr>
      <w:r>
        <w:t>Table S 3: Potential scale reduction factors (PSRF) and effective sample sizes (ESS) for rho regression paramete</w:t>
      </w:r>
      <w:r>
        <w:t xml:space="preserve">rs (i.e phylogeny coefficient) estimated for the models including phylogeny data. For further details see Fig. S12. </w:t>
      </w:r>
    </w:p>
    <w:tbl>
      <w:tblPr>
        <w:tblStyle w:val="Table"/>
        <w:tblW w:w="5000" w:type="pct"/>
        <w:tblLook w:val="0020" w:firstRow="1" w:lastRow="0" w:firstColumn="0" w:lastColumn="0" w:noHBand="0" w:noVBand="0"/>
        <w:tblCaption w:val="Table S 3: Potential scale reduction factors (PSRF) and effective sample sizes (ESS) for rho regression parameters (i.e phylogeny coefficient) estimated for the models including phylogeny data. For further details see Fig. S12. "/>
      </w:tblPr>
      <w:tblGrid>
        <w:gridCol w:w="7061"/>
        <w:gridCol w:w="1101"/>
        <w:gridCol w:w="1460"/>
      </w:tblGrid>
      <w:tr w:rsidR="00ED22E3" w:rsidTr="00ED22E3">
        <w:trPr>
          <w:cnfStyle w:val="100000000000" w:firstRow="1" w:lastRow="0" w:firstColumn="0" w:lastColumn="0" w:oddVBand="0" w:evenVBand="0" w:oddHBand="0" w:evenHBand="0" w:firstRowFirstColumn="0" w:firstRowLastColumn="0" w:lastRowFirstColumn="0" w:lastRowLastColumn="0"/>
          <w:tblHeader/>
        </w:trPr>
        <w:tc>
          <w:tcPr>
            <w:tcW w:w="0" w:type="auto"/>
          </w:tcPr>
          <w:p w:rsidR="00ED22E3" w:rsidRDefault="00BE0193">
            <w:pPr>
              <w:pStyle w:val="Compact"/>
            </w:pPr>
            <w:r>
              <w:t>Model PSRF</w:t>
            </w:r>
          </w:p>
        </w:tc>
        <w:tc>
          <w:tcPr>
            <w:tcW w:w="0" w:type="auto"/>
          </w:tcPr>
          <w:p w:rsidR="00ED22E3" w:rsidRDefault="00BE0193">
            <w:pPr>
              <w:pStyle w:val="Compact"/>
            </w:pPr>
            <w:r>
              <w:t>ESS</w:t>
            </w:r>
          </w:p>
        </w:tc>
        <w:tc>
          <w:tcPr>
            <w:tcW w:w="0" w:type="auto"/>
          </w:tcPr>
          <w:p w:rsidR="00ED22E3" w:rsidRDefault="00ED22E3">
            <w:pPr>
              <w:pStyle w:val="Compact"/>
            </w:pPr>
          </w:p>
        </w:tc>
      </w:tr>
      <w:tr w:rsidR="00ED22E3">
        <w:tc>
          <w:tcPr>
            <w:tcW w:w="0" w:type="auto"/>
          </w:tcPr>
          <w:p w:rsidR="00ED22E3" w:rsidRDefault="00BE0193">
            <w:pPr>
              <w:pStyle w:val="Compact"/>
            </w:pPr>
            <w:r>
              <w:t>Phylogeny model - Abundance</w:t>
            </w:r>
          </w:p>
        </w:tc>
        <w:tc>
          <w:tcPr>
            <w:tcW w:w="0" w:type="auto"/>
          </w:tcPr>
          <w:p w:rsidR="00ED22E3" w:rsidRDefault="00BE0193">
            <w:pPr>
              <w:pStyle w:val="Compact"/>
            </w:pPr>
            <w:r>
              <w:t>1.07</w:t>
            </w:r>
          </w:p>
        </w:tc>
        <w:tc>
          <w:tcPr>
            <w:tcW w:w="0" w:type="auto"/>
          </w:tcPr>
          <w:p w:rsidR="00ED22E3" w:rsidRDefault="00BE0193">
            <w:pPr>
              <w:pStyle w:val="Compact"/>
            </w:pPr>
            <w:r>
              <w:t>649</w:t>
            </w:r>
          </w:p>
        </w:tc>
      </w:tr>
      <w:tr w:rsidR="00ED22E3">
        <w:tc>
          <w:tcPr>
            <w:tcW w:w="0" w:type="auto"/>
          </w:tcPr>
          <w:p w:rsidR="00ED22E3" w:rsidRDefault="00BE0193">
            <w:pPr>
              <w:pStyle w:val="Compact"/>
            </w:pPr>
            <w:r>
              <w:t>Phylogeny - Presence/Absence</w:t>
            </w:r>
          </w:p>
        </w:tc>
        <w:tc>
          <w:tcPr>
            <w:tcW w:w="0" w:type="auto"/>
          </w:tcPr>
          <w:p w:rsidR="00ED22E3" w:rsidRDefault="00BE0193">
            <w:pPr>
              <w:pStyle w:val="Compact"/>
            </w:pPr>
            <w:r>
              <w:t>1.00</w:t>
            </w:r>
          </w:p>
        </w:tc>
        <w:tc>
          <w:tcPr>
            <w:tcW w:w="0" w:type="auto"/>
          </w:tcPr>
          <w:p w:rsidR="00ED22E3" w:rsidRDefault="00BE0193">
            <w:pPr>
              <w:pStyle w:val="Compact"/>
            </w:pPr>
            <w:r>
              <w:t>9349</w:t>
            </w:r>
          </w:p>
        </w:tc>
      </w:tr>
      <w:tr w:rsidR="00ED22E3">
        <w:tc>
          <w:tcPr>
            <w:tcW w:w="0" w:type="auto"/>
          </w:tcPr>
          <w:p w:rsidR="00ED22E3" w:rsidRDefault="00BE0193">
            <w:pPr>
              <w:pStyle w:val="Compact"/>
            </w:pPr>
            <w:r>
              <w:t>Traits &amp; Phylogeny - Abundance</w:t>
            </w:r>
          </w:p>
        </w:tc>
        <w:tc>
          <w:tcPr>
            <w:tcW w:w="0" w:type="auto"/>
          </w:tcPr>
          <w:p w:rsidR="00ED22E3" w:rsidRDefault="00BE0193">
            <w:pPr>
              <w:pStyle w:val="Compact"/>
            </w:pPr>
            <w:r>
              <w:t>1.15</w:t>
            </w:r>
          </w:p>
        </w:tc>
        <w:tc>
          <w:tcPr>
            <w:tcW w:w="0" w:type="auto"/>
          </w:tcPr>
          <w:p w:rsidR="00ED22E3" w:rsidRDefault="00BE0193">
            <w:pPr>
              <w:pStyle w:val="Compact"/>
            </w:pPr>
            <w:r>
              <w:t>757</w:t>
            </w:r>
          </w:p>
        </w:tc>
      </w:tr>
      <w:tr w:rsidR="00ED22E3">
        <w:tc>
          <w:tcPr>
            <w:tcW w:w="0" w:type="auto"/>
          </w:tcPr>
          <w:p w:rsidR="00ED22E3" w:rsidRDefault="00BE0193">
            <w:pPr>
              <w:pStyle w:val="Compact"/>
            </w:pPr>
            <w:r>
              <w:t>Traits &amp; Phylogeny - Presence/Absence</w:t>
            </w:r>
          </w:p>
        </w:tc>
        <w:tc>
          <w:tcPr>
            <w:tcW w:w="0" w:type="auto"/>
          </w:tcPr>
          <w:p w:rsidR="00ED22E3" w:rsidRDefault="00BE0193">
            <w:pPr>
              <w:pStyle w:val="Compact"/>
            </w:pPr>
            <w:r>
              <w:t>1.00</w:t>
            </w:r>
          </w:p>
        </w:tc>
        <w:tc>
          <w:tcPr>
            <w:tcW w:w="0" w:type="auto"/>
          </w:tcPr>
          <w:p w:rsidR="00ED22E3" w:rsidRDefault="00BE0193">
            <w:pPr>
              <w:pStyle w:val="Compact"/>
            </w:pPr>
            <w:r>
              <w:t>11291</w:t>
            </w:r>
          </w:p>
        </w:tc>
      </w:tr>
    </w:tbl>
    <w:p w:rsidR="00ED22E3" w:rsidRDefault="00BE0193">
      <w:pPr>
        <w:pStyle w:val="Titre1"/>
      </w:pPr>
      <w:bookmarkStart w:id="35" w:name="references"/>
      <w:bookmarkEnd w:id="30"/>
      <w:bookmarkEnd w:id="31"/>
      <w:bookmarkEnd w:id="34"/>
      <w:r>
        <w:lastRenderedPageBreak/>
        <w:t>References</w:t>
      </w:r>
    </w:p>
    <w:p w:rsidR="00ED22E3" w:rsidRDefault="00BE0193">
      <w:pPr>
        <w:pStyle w:val="FirstParagraph"/>
      </w:pPr>
      <w:r>
        <w:t xml:space="preserve">Boyé, A., Legendre, P., Grall, J. &amp; Gauthier, O. (2017). </w:t>
      </w:r>
      <w:hyperlink r:id="rId116">
        <w:r>
          <w:rPr>
            <w:rStyle w:val="Lienhypertexte"/>
          </w:rPr>
          <w:t>Constancy despite variability: Local and regional macrofaunal diversity in</w:t>
        </w:r>
        <w:r>
          <w:rPr>
            <w:rStyle w:val="Lienhypertexte"/>
          </w:rPr>
          <w:t xml:space="preserve"> intertidal seagrass beds</w:t>
        </w:r>
      </w:hyperlink>
      <w:r>
        <w:t xml:space="preserve">. </w:t>
      </w:r>
      <w:r>
        <w:rPr>
          <w:i/>
          <w:iCs/>
        </w:rPr>
        <w:t>Journal of Sea Research</w:t>
      </w:r>
      <w:r>
        <w:t>, 130, 107–122.</w:t>
      </w:r>
    </w:p>
    <w:p w:rsidR="00ED22E3" w:rsidRDefault="00BE0193">
      <w:pPr>
        <w:pStyle w:val="Corpsdetexte"/>
      </w:pPr>
      <w:r>
        <w:t xml:space="preserve">Boyé, A., Thiébaut, Éric, Grall, J., Legendre, P., Broudin, C., Houbin, C., </w:t>
      </w:r>
      <w:r>
        <w:rPr>
          <w:i/>
          <w:iCs/>
        </w:rPr>
        <w:t>et al.</w:t>
      </w:r>
      <w:r>
        <w:t xml:space="preserve"> (2019). </w:t>
      </w:r>
      <w:hyperlink r:id="rId117">
        <w:r>
          <w:rPr>
            <w:rStyle w:val="Lienhypertexte"/>
          </w:rPr>
          <w:t>Trait-based approach to monitoring marine bent</w:t>
        </w:r>
        <w:r>
          <w:rPr>
            <w:rStyle w:val="Lienhypertexte"/>
          </w:rPr>
          <w:t>hic data along 500 km of coastline</w:t>
        </w:r>
      </w:hyperlink>
      <w:r>
        <w:t xml:space="preserve">. </w:t>
      </w:r>
      <w:r>
        <w:rPr>
          <w:i/>
          <w:iCs/>
        </w:rPr>
        <w:t>Diversity and Distributions</w:t>
      </w:r>
      <w:r>
        <w:t>, 25, 1879–1896.</w:t>
      </w:r>
    </w:p>
    <w:p w:rsidR="00ED22E3" w:rsidRDefault="00BE0193">
      <w:pPr>
        <w:pStyle w:val="Corpsdetexte"/>
      </w:pPr>
      <w:r>
        <w:t xml:space="preserve">Brooks, S.P. &amp; Gelman, A. (1998). </w:t>
      </w:r>
      <w:hyperlink r:id="rId118">
        <w:r>
          <w:rPr>
            <w:rStyle w:val="Lienhypertexte"/>
          </w:rPr>
          <w:t>General methods for monitoring convergence of iterative simulations</w:t>
        </w:r>
      </w:hyperlink>
      <w:r>
        <w:t xml:space="preserve">. </w:t>
      </w:r>
      <w:r>
        <w:rPr>
          <w:i/>
          <w:iCs/>
        </w:rPr>
        <w:t>Journal</w:t>
      </w:r>
      <w:r>
        <w:rPr>
          <w:i/>
          <w:iCs/>
        </w:rPr>
        <w:t xml:space="preserve"> of Computational and Graphical Statistics</w:t>
      </w:r>
      <w:r>
        <w:t>, 7, 434–455.</w:t>
      </w:r>
    </w:p>
    <w:p w:rsidR="00ED22E3" w:rsidRDefault="00BE0193">
      <w:pPr>
        <w:pStyle w:val="Corpsdetexte"/>
      </w:pPr>
      <w:r>
        <w:t xml:space="preserve">Ovaskainen, O. &amp; Abrego, N. (2020). </w:t>
      </w:r>
      <w:r>
        <w:rPr>
          <w:i/>
          <w:iCs/>
        </w:rPr>
        <w:t>Joint species distribution modelling: With applications in r</w:t>
      </w:r>
      <w:r>
        <w:t>. Ecology, biodiversity and conservation. Cambridge University Press.</w:t>
      </w:r>
    </w:p>
    <w:p w:rsidR="00ED22E3" w:rsidRDefault="00BE0193">
      <w:pPr>
        <w:pStyle w:val="Corpsdetexte"/>
      </w:pPr>
      <w:r>
        <w:t xml:space="preserve">Rigal, S., Devictor, V. &amp; Dakos, V. (2020). </w:t>
      </w:r>
      <w:hyperlink r:id="rId119">
        <w:r>
          <w:rPr>
            <w:rStyle w:val="Lienhypertexte"/>
          </w:rPr>
          <w:t>A method for classifying and comparing non-linear trajectories of ecological variables</w:t>
        </w:r>
      </w:hyperlink>
      <w:r>
        <w:t xml:space="preserve">. </w:t>
      </w:r>
      <w:r>
        <w:rPr>
          <w:i/>
          <w:iCs/>
        </w:rPr>
        <w:t>Ecological Indicators</w:t>
      </w:r>
      <w:r>
        <w:t>, 112, 106113.</w:t>
      </w:r>
      <w:bookmarkEnd w:id="35"/>
    </w:p>
    <w:sectPr w:rsidR="00ED22E3" w:rsidSect="00DC394B">
      <w:pgSz w:w="12240" w:h="15840"/>
      <w:pgMar w:top="1417" w:right="1417" w:bottom="1417" w:left="1417"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0193" w:rsidRDefault="00BE0193">
      <w:pPr>
        <w:spacing w:after="0"/>
      </w:pPr>
      <w:r>
        <w:separator/>
      </w:r>
    </w:p>
  </w:endnote>
  <w:endnote w:type="continuationSeparator" w:id="0">
    <w:p w:rsidR="00BE0193" w:rsidRDefault="00BE01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0193" w:rsidRDefault="00BE0193">
      <w:r>
        <w:separator/>
      </w:r>
    </w:p>
  </w:footnote>
  <w:footnote w:type="continuationSeparator" w:id="0">
    <w:p w:rsidR="00BE0193" w:rsidRDefault="00BE01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61E5CB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9364CC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D22E3"/>
    <w:rsid w:val="00BE0193"/>
    <w:rsid w:val="00DC394B"/>
    <w:rsid w:val="00ED22E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AFC7BF57-186E-7542-9605-C8322661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Numrodeligne">
    <w:name w:val="line number"/>
    <w:basedOn w:val="Policepardfaut"/>
    <w:semiHidden/>
    <w:unhideWhenUsed/>
    <w:rsid w:val="00DC39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6/annurev.ecolsys.31.1.343" TargetMode="External"/><Relationship Id="rId117" Type="http://schemas.openxmlformats.org/officeDocument/2006/relationships/hyperlink" Target="https://doi.org/10.1111/ddi.12987" TargetMode="External"/><Relationship Id="rId21" Type="http://schemas.openxmlformats.org/officeDocument/2006/relationships/hyperlink" Target="https://doi.org/10.1111/1365-2745.13791" TargetMode="External"/><Relationship Id="rId42" Type="http://schemas.openxmlformats.org/officeDocument/2006/relationships/hyperlink" Target="https://doi.org/10.1111/oik.03726" TargetMode="External"/><Relationship Id="rId47" Type="http://schemas.openxmlformats.org/officeDocument/2006/relationships/hyperlink" Target="https://doi.org/10.1016/j.jembe.2018.10.004" TargetMode="External"/><Relationship Id="rId63" Type="http://schemas.openxmlformats.org/officeDocument/2006/relationships/hyperlink" Target="https://doi.org/10.1093/bioinformatics/bty633" TargetMode="External"/><Relationship Id="rId68" Type="http://schemas.openxmlformats.org/officeDocument/2006/relationships/hyperlink" Target="https://doi.org/10.1111/2041-210X.12180" TargetMode="External"/><Relationship Id="rId84" Type="http://schemas.openxmlformats.org/officeDocument/2006/relationships/hyperlink" Target="https://doi.org/10.1016/j.tree.2011.11.014" TargetMode="External"/><Relationship Id="rId89" Type="http://schemas.openxmlformats.org/officeDocument/2006/relationships/hyperlink" Target="https://doi.org/10.1111/2041-210X.13518" TargetMode="External"/><Relationship Id="rId112" Type="http://schemas.openxmlformats.org/officeDocument/2006/relationships/image" Target="media/image26.png"/><Relationship Id="rId16" Type="http://schemas.openxmlformats.org/officeDocument/2006/relationships/hyperlink" Target="https://doi.org/10.1111/1365-2745.13839" TargetMode="External"/><Relationship Id="rId107" Type="http://schemas.openxmlformats.org/officeDocument/2006/relationships/image" Target="media/image21.png"/><Relationship Id="rId11" Type="http://schemas.openxmlformats.org/officeDocument/2006/relationships/image" Target="media/image2.png"/><Relationship Id="rId32" Type="http://schemas.openxmlformats.org/officeDocument/2006/relationships/hyperlink" Target="https://www.fishbase.org" TargetMode="External"/><Relationship Id="rId37" Type="http://schemas.openxmlformats.org/officeDocument/2006/relationships/hyperlink" Target="https://doi.org/10.1111/j.1600-0587.2012.07191.x" TargetMode="External"/><Relationship Id="rId53" Type="http://schemas.openxmlformats.org/officeDocument/2006/relationships/hyperlink" Target="https://doi.org/10.1038/nature01547" TargetMode="External"/><Relationship Id="rId58" Type="http://schemas.openxmlformats.org/officeDocument/2006/relationships/hyperlink" Target="https://doi.org/10.1111/geb.12580" TargetMode="External"/><Relationship Id="rId74" Type="http://schemas.openxmlformats.org/officeDocument/2006/relationships/hyperlink" Target="https://doi.org/10.1038/s41598-017-07009-x" TargetMode="External"/><Relationship Id="rId79" Type="http://schemas.openxmlformats.org/officeDocument/2006/relationships/hyperlink" Target="https://doi.org/10.1101/603217" TargetMode="External"/><Relationship Id="rId102" Type="http://schemas.openxmlformats.org/officeDocument/2006/relationships/image" Target="media/image16.png"/><Relationship Id="rId5" Type="http://schemas.openxmlformats.org/officeDocument/2006/relationships/footnotes" Target="footnotes.xml"/><Relationship Id="rId90" Type="http://schemas.openxmlformats.org/officeDocument/2006/relationships/hyperlink" Target="https://doi.org/10.1111/j.1600-0706.2009.18284.x" TargetMode="External"/><Relationship Id="rId95" Type="http://schemas.openxmlformats.org/officeDocument/2006/relationships/image" Target="media/image9.png"/><Relationship Id="rId22" Type="http://schemas.openxmlformats.org/officeDocument/2006/relationships/hyperlink" Target="https://doi.org/10.1016/j.seares.2017.06.004" TargetMode="External"/><Relationship Id="rId27" Type="http://schemas.openxmlformats.org/officeDocument/2006/relationships/hyperlink" Target="https://doi.org/10.3389/fevo.2021.588292" TargetMode="External"/><Relationship Id="rId43" Type="http://schemas.openxmlformats.org/officeDocument/2006/relationships/hyperlink" Target="https://doi.org/10.1111/2041-210X.12184" TargetMode="External"/><Relationship Id="rId48" Type="http://schemas.openxmlformats.org/officeDocument/2006/relationships/hyperlink" Target="https://doi.org/10.1002/ece3.9001" TargetMode="External"/><Relationship Id="rId64" Type="http://schemas.openxmlformats.org/officeDocument/2006/relationships/hyperlink" Target="https://doi.org/10.1111/2041-210X.13687" TargetMode="External"/><Relationship Id="rId69" Type="http://schemas.openxmlformats.org/officeDocument/2006/relationships/hyperlink" Target="https://doi.org/10.1111/2041-210X.13733" TargetMode="External"/><Relationship Id="rId113" Type="http://schemas.openxmlformats.org/officeDocument/2006/relationships/image" Target="media/image27.png"/><Relationship Id="rId118" Type="http://schemas.openxmlformats.org/officeDocument/2006/relationships/hyperlink" Target="https://doi.org/10.1080/10618600.1998.10474787" TargetMode="External"/><Relationship Id="rId80" Type="http://schemas.openxmlformats.org/officeDocument/2006/relationships/hyperlink" Target="https://doi.org/10.1002/ecy.3336" TargetMode="External"/><Relationship Id="rId85" Type="http://schemas.openxmlformats.org/officeDocument/2006/relationships/hyperlink" Target="https://doi.org/10.1111/ecog.05694" TargetMode="External"/><Relationship Id="rId12" Type="http://schemas.openxmlformats.org/officeDocument/2006/relationships/image" Target="media/image3.png"/><Relationship Id="rId17" Type="http://schemas.openxmlformats.org/officeDocument/2006/relationships/hyperlink" Target="https://doi.org/10.1111/oik.03674" TargetMode="External"/><Relationship Id="rId33" Type="http://schemas.openxmlformats.org/officeDocument/2006/relationships/hyperlink" Target="https://doi.org/10.1017/9781139161879" TargetMode="External"/><Relationship Id="rId38" Type="http://schemas.openxmlformats.org/officeDocument/2006/relationships/hyperlink" Target="https://doi.org/10.1002/ece3.2657" TargetMode="External"/><Relationship Id="rId59" Type="http://schemas.openxmlformats.org/officeDocument/2006/relationships/hyperlink" Target="https://doi.org/10.1111/2041-210X.13303" TargetMode="External"/><Relationship Id="rId103" Type="http://schemas.openxmlformats.org/officeDocument/2006/relationships/image" Target="media/image17.png"/><Relationship Id="rId108" Type="http://schemas.openxmlformats.org/officeDocument/2006/relationships/image" Target="media/image22.png"/><Relationship Id="rId54" Type="http://schemas.openxmlformats.org/officeDocument/2006/relationships/hyperlink" Target="https://www.int-res.com/abstracts/meps/v508/p1-15/" TargetMode="External"/><Relationship Id="rId70" Type="http://schemas.openxmlformats.org/officeDocument/2006/relationships/hyperlink" Target="https://doi.org/10.1111/gcb.12257" TargetMode="External"/><Relationship Id="rId75" Type="http://schemas.openxmlformats.org/officeDocument/2006/relationships/hyperlink" Target="https://doi.org/10.1002/ecy.2398" TargetMode="External"/><Relationship Id="rId91" Type="http://schemas.openxmlformats.org/officeDocument/2006/relationships/hyperlink" Target="https://doi.org/10.1111/ecog.03315" TargetMode="External"/><Relationship Id="rId9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111/ddi.12987" TargetMode="External"/><Relationship Id="rId28" Type="http://schemas.openxmlformats.org/officeDocument/2006/relationships/hyperlink" Target="https://doi.org/10.1073/pnas.1710231115" TargetMode="External"/><Relationship Id="rId49" Type="http://schemas.openxmlformats.org/officeDocument/2006/relationships/hyperlink" Target="https://doi.org/10.1146/annurev-marine-010814-020007" TargetMode="External"/><Relationship Id="rId114" Type="http://schemas.openxmlformats.org/officeDocument/2006/relationships/image" Target="media/image28.png"/><Relationship Id="rId119" Type="http://schemas.openxmlformats.org/officeDocument/2006/relationships/hyperlink" Target="https://doi.org/10.1016/j.ecolind.2020.106113" TargetMode="External"/><Relationship Id="rId44" Type="http://schemas.openxmlformats.org/officeDocument/2006/relationships/hyperlink" Target="https://doi.org/10.1111/2041-210X.12514" TargetMode="External"/><Relationship Id="rId60" Type="http://schemas.openxmlformats.org/officeDocument/2006/relationships/hyperlink" Target="https://doi.org/10.1002/ecm.1370" TargetMode="External"/><Relationship Id="rId65" Type="http://schemas.openxmlformats.org/officeDocument/2006/relationships/hyperlink" Target="https://doi.org/10.1016/j.tree.2021.01.002" TargetMode="External"/><Relationship Id="rId81" Type="http://schemas.openxmlformats.org/officeDocument/2006/relationships/hyperlink" Target="https://doi.org/10.1038/s41598-017-09084-6" TargetMode="External"/><Relationship Id="rId86" Type="http://schemas.openxmlformats.org/officeDocument/2006/relationships/hyperlink" Target="https://doi.org/10.1016/j.tree.2015.09.007" TargetMode="External"/><Relationship Id="rId4" Type="http://schemas.openxmlformats.org/officeDocument/2006/relationships/webSettings" Target="webSettings.xml"/><Relationship Id="rId9" Type="http://schemas.openxmlformats.org/officeDocument/2006/relationships/hyperlink" Target="https://rebent.ifremer.fr" TargetMode="External"/><Relationship Id="rId13" Type="http://schemas.openxmlformats.org/officeDocument/2006/relationships/image" Target="media/image4.png"/><Relationship Id="rId18" Type="http://schemas.openxmlformats.org/officeDocument/2006/relationships/hyperlink" Target="https://doi.org/10.1111/j.1466-8238.2009.00490.x" TargetMode="External"/><Relationship Id="rId39" Type="http://schemas.openxmlformats.org/officeDocument/2006/relationships/hyperlink" Target="https://doi.org/10.1016/j.jembe.2006.06.013" TargetMode="External"/><Relationship Id="rId109" Type="http://schemas.openxmlformats.org/officeDocument/2006/relationships/image" Target="media/image23.png"/><Relationship Id="rId34" Type="http://schemas.openxmlformats.org/officeDocument/2006/relationships/hyperlink" Target="https://doi.org/10.1214/ss/1177011136" TargetMode="External"/><Relationship Id="rId50" Type="http://schemas.openxmlformats.org/officeDocument/2006/relationships/hyperlink" Target="https://doi.org/10.1002/ecm.1452" TargetMode="External"/><Relationship Id="rId55" Type="http://schemas.openxmlformats.org/officeDocument/2006/relationships/hyperlink" Target="https://doi.org/10.1111/1462-2920.14786" TargetMode="External"/><Relationship Id="rId76" Type="http://schemas.openxmlformats.org/officeDocument/2006/relationships/hyperlink" Target="https://doi.org/10.1111/ele.12770" TargetMode="External"/><Relationship Id="rId97" Type="http://schemas.openxmlformats.org/officeDocument/2006/relationships/image" Target="media/image11.png"/><Relationship Id="rId104" Type="http://schemas.openxmlformats.org/officeDocument/2006/relationships/image" Target="media/image18.png"/><Relationship Id="rId120" Type="http://schemas.openxmlformats.org/officeDocument/2006/relationships/fontTable" Target="fontTable.xml"/><Relationship Id="rId7" Type="http://schemas.openxmlformats.org/officeDocument/2006/relationships/hyperlink" Target="https://rebent.ifremer.fr" TargetMode="External"/><Relationship Id="rId71" Type="http://schemas.openxmlformats.org/officeDocument/2006/relationships/hyperlink" Target="https://doi.org/10.1007/s00442-012-2318-8" TargetMode="External"/><Relationship Id="rId92" Type="http://schemas.openxmlformats.org/officeDocument/2006/relationships/image" Target="media/image6.png"/><Relationship Id="rId2" Type="http://schemas.openxmlformats.org/officeDocument/2006/relationships/styles" Target="styles.xml"/><Relationship Id="rId29" Type="http://schemas.openxmlformats.org/officeDocument/2006/relationships/hyperlink" Target="https://doi.org/10.1111/2041-210X.14030" TargetMode="External"/><Relationship Id="rId24" Type="http://schemas.openxmlformats.org/officeDocument/2006/relationships/hyperlink" Target="https://doi.org/10.1111/ecog.05452" TargetMode="External"/><Relationship Id="rId40" Type="http://schemas.openxmlformats.org/officeDocument/2006/relationships/hyperlink" Target="https://doi.org/10.1002/ece3.3923" TargetMode="External"/><Relationship Id="rId45" Type="http://schemas.openxmlformats.org/officeDocument/2006/relationships/hyperlink" Target="https://doi.org/10.5281/zenodo.6417333" TargetMode="External"/><Relationship Id="rId66" Type="http://schemas.openxmlformats.org/officeDocument/2006/relationships/hyperlink" Target="https://doi.org/10.1111/j.1600-0587.2011.07085.x" TargetMode="External"/><Relationship Id="rId87" Type="http://schemas.openxmlformats.org/officeDocument/2006/relationships/hyperlink" Target="https://doi.org/10.1046/j.1365-2699.2001.00563.x" TargetMode="External"/><Relationship Id="rId110" Type="http://schemas.openxmlformats.org/officeDocument/2006/relationships/image" Target="media/image24.png"/><Relationship Id="rId115" Type="http://schemas.openxmlformats.org/officeDocument/2006/relationships/image" Target="media/image29.png"/><Relationship Id="rId61" Type="http://schemas.openxmlformats.org/officeDocument/2006/relationships/hyperlink" Target="https://doi.org/10.1098/rspb.2017.0768" TargetMode="External"/><Relationship Id="rId82" Type="http://schemas.openxmlformats.org/officeDocument/2006/relationships/hyperlink" Target="https://doi.org/10.1111/j.1466-8238.2011.00726.x" TargetMode="External"/><Relationship Id="rId19" Type="http://schemas.openxmlformats.org/officeDocument/2006/relationships/hyperlink" Target="https://CRAN.R-project.org/package=betapart" TargetMode="External"/><Relationship Id="rId14" Type="http://schemas.openxmlformats.org/officeDocument/2006/relationships/image" Target="media/image5.png"/><Relationship Id="rId30" Type="http://schemas.openxmlformats.org/officeDocument/2006/relationships/hyperlink" Target="https://doi.org/10.1111/geb.12759" TargetMode="External"/><Relationship Id="rId35" Type="http://schemas.openxmlformats.org/officeDocument/2006/relationships/hyperlink" Target="https://doi.org/10.1201/b12590-8" TargetMode="External"/><Relationship Id="rId56" Type="http://schemas.openxmlformats.org/officeDocument/2006/relationships/hyperlink" Target="https://doi.org/10.1111/2041-210X.13380" TargetMode="External"/><Relationship Id="rId77" Type="http://schemas.openxmlformats.org/officeDocument/2006/relationships/hyperlink" Target="https://doi.org/10.1002/ece3.1651" TargetMode="External"/><Relationship Id="rId100" Type="http://schemas.openxmlformats.org/officeDocument/2006/relationships/image" Target="media/image14.png"/><Relationship Id="rId105"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hyperlink" Target="https://doi.org/10.1111/jbi.14106" TargetMode="External"/><Relationship Id="rId72" Type="http://schemas.openxmlformats.org/officeDocument/2006/relationships/hyperlink" Target="https://doi.org/10.1016/j.ecolind.2020.106113" TargetMode="External"/><Relationship Id="rId93" Type="http://schemas.openxmlformats.org/officeDocument/2006/relationships/image" Target="media/image7.png"/><Relationship Id="rId98" Type="http://schemas.openxmlformats.org/officeDocument/2006/relationships/image" Target="media/image1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doi.org/10.1111/rec.13380" TargetMode="External"/><Relationship Id="rId46" Type="http://schemas.openxmlformats.org/officeDocument/2006/relationships/hyperlink" Target="https://doi.org/10.1890/10-1264.1" TargetMode="External"/><Relationship Id="rId67" Type="http://schemas.openxmlformats.org/officeDocument/2006/relationships/hyperlink" Target="https://doi.org/10.1016/j.tree.2020.08.015" TargetMode="External"/><Relationship Id="rId116" Type="http://schemas.openxmlformats.org/officeDocument/2006/relationships/hyperlink" Target="https://doi.org/10.1016/j.seares.2017.06.004" TargetMode="External"/><Relationship Id="rId20" Type="http://schemas.openxmlformats.org/officeDocument/2006/relationships/hyperlink" Target="https://doi.org/10.1111/ele.13525" TargetMode="External"/><Relationship Id="rId41" Type="http://schemas.openxmlformats.org/officeDocument/2006/relationships/hyperlink" Target="https://doi.org/10.17161/bi.v15i1.13302" TargetMode="External"/><Relationship Id="rId62" Type="http://schemas.openxmlformats.org/officeDocument/2006/relationships/hyperlink" Target="https://doi.org/10.1111/ele.12757" TargetMode="External"/><Relationship Id="rId83" Type="http://schemas.openxmlformats.org/officeDocument/2006/relationships/hyperlink" Target="https://doi.org/10.1111/ecog.05179" TargetMode="External"/><Relationship Id="rId88" Type="http://schemas.openxmlformats.org/officeDocument/2006/relationships/hyperlink" Target="https://doi.org/10.1111/2041-210X.13106" TargetMode="External"/><Relationship Id="rId111" Type="http://schemas.openxmlformats.org/officeDocument/2006/relationships/image" Target="media/image25.png"/><Relationship Id="rId15" Type="http://schemas.openxmlformats.org/officeDocument/2006/relationships/hyperlink" Target="https://pcdm.ifremer.fr" TargetMode="External"/><Relationship Id="rId36" Type="http://schemas.openxmlformats.org/officeDocument/2006/relationships/hyperlink" Target="https://doi.org/10.1016/j.marpolbul.2005.08.003" TargetMode="External"/><Relationship Id="rId57" Type="http://schemas.openxmlformats.org/officeDocument/2006/relationships/hyperlink" Target="https://doi.org/10.1111/rssc.12509" TargetMode="External"/><Relationship Id="rId106" Type="http://schemas.openxmlformats.org/officeDocument/2006/relationships/image" Target="media/image20.png"/><Relationship Id="rId10" Type="http://schemas.openxmlformats.org/officeDocument/2006/relationships/hyperlink" Target="https://www.marinespecies.org" TargetMode="External"/><Relationship Id="rId31" Type="http://schemas.openxmlformats.org/officeDocument/2006/relationships/hyperlink" Target="https://doi.org/10.1111/j.2006.0906-7590.04596.x" TargetMode="External"/><Relationship Id="rId52" Type="http://schemas.openxmlformats.org/officeDocument/2006/relationships/hyperlink" Target="https://doi.org/10.1038/nature22898" TargetMode="External"/><Relationship Id="rId73" Type="http://schemas.openxmlformats.org/officeDocument/2006/relationships/hyperlink" Target="https://doi.org/10.1016/j.foreco.2017.06.053" TargetMode="External"/><Relationship Id="rId78" Type="http://schemas.openxmlformats.org/officeDocument/2006/relationships/hyperlink" Target="https://doi.org/10.1007/978-1-4939-8850-1" TargetMode="External"/><Relationship Id="rId94" Type="http://schemas.openxmlformats.org/officeDocument/2006/relationships/image" Target="media/image8.png"/><Relationship Id="rId99" Type="http://schemas.openxmlformats.org/officeDocument/2006/relationships/image" Target="media/image13.png"/><Relationship Id="rId10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49</Pages>
  <Words>13280</Words>
  <Characters>73046</Characters>
  <Application>Microsoft Office Word</Application>
  <DocSecurity>0</DocSecurity>
  <Lines>608</Lines>
  <Paragraphs>172</Paragraphs>
  <ScaleCrop>false</ScaleCrop>
  <Company/>
  <LinksUpToDate>false</LinksUpToDate>
  <CharactersWithSpaces>86154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Essential ingredients in Joint Species Distribution Models: influence on interpretability, explanatory and predictive power</dc:title>
  <dc:creator>Clément Violet; Aurélien Boyé; Mathieu Chevalier; Olivier Gauthier; Jacques Grall; Martin P. Marzloff</dc:creator>
  <cp:keywords/>
  <cp:lastModifiedBy>Clément VIOLET</cp:lastModifiedBy>
  <cp:revision>2</cp:revision>
  <dcterms:created xsi:type="dcterms:W3CDTF">2023-05-04T15:05:00Z</dcterms:created>
  <dcterms:modified xsi:type="dcterms:W3CDTF">2023-05-04T15:09:00Z</dcterms:modified>
</cp:coreProperties>
</file>